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t xml:space="preserve"> </w:t>
      </w:r>
      <w:r/>
    </w:p>
    <w:p>
      <w:pPr>
        <w:ind w:firstLine="300"/>
        <w:spacing w:line="360" w:lineRule="auto"/>
        <w:rPr>
          <w:color w:val="000000"/>
          <w:sz w:val="60"/>
          <w:szCs w:val="60"/>
          <w:highlight w:val="none"/>
        </w:rPr>
      </w:pPr>
      <w:r>
        <w:rPr>
          <w:color w:val="000000"/>
          <w:sz w:val="60"/>
          <w:szCs w:val="60"/>
          <w:highlight w:val="none"/>
        </w:rPr>
      </w:r>
      <w:r/>
    </w:p>
    <w:p>
      <w:pPr>
        <w:jc w:val="center"/>
        <w:rPr>
          <w:b/>
          <w:bCs/>
          <w:color w:val="000000"/>
          <w:sz w:val="60"/>
          <w:szCs w:val="60"/>
          <w:highlight w:val="none"/>
        </w:rPr>
      </w:pPr>
      <w:r>
        <w:rPr>
          <w:b/>
          <w:bCs/>
          <w:color w:val="000000"/>
          <w:sz w:val="60"/>
          <w:szCs w:val="60"/>
          <w:highlight w:val="none"/>
        </w:rPr>
        <w:t xml:space="preserve">常州市政府采购项目</w:t>
      </w:r>
      <w:r/>
    </w:p>
    <w:p>
      <w:pPr>
        <w:jc w:val="center"/>
        <w:rPr>
          <w:b/>
          <w:bCs/>
          <w:color w:val="000000"/>
          <w:sz w:val="60"/>
          <w:szCs w:val="60"/>
          <w:highlight w:val="none"/>
        </w:rPr>
      </w:pPr>
      <w:r>
        <w:rPr>
          <w:b/>
          <w:bCs/>
          <w:color w:val="000000"/>
          <w:sz w:val="60"/>
          <w:szCs w:val="60"/>
          <w:highlight w:val="none"/>
        </w:rPr>
        <w:t xml:space="preserve">竞争性磋商文件</w:t>
      </w:r>
      <w:r/>
    </w:p>
    <w:p>
      <w:pPr>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ind w:left="2621" w:hanging="1689"/>
        <w:jc w:val="left"/>
        <w:spacing w:line="360" w:lineRule="auto"/>
        <w:tabs>
          <w:tab w:val="left" w:pos="5609" w:leader="none"/>
        </w:tabs>
        <w:rPr>
          <w:rFonts w:ascii="Times New Roman" w:hAnsi="Times New Roman" w:eastAsia="宋体" w:cs="Times New Roman"/>
          <w:bCs/>
          <w:color w:val="000000"/>
          <w:sz w:val="32"/>
          <w:szCs w:val="32"/>
          <w:highlight w:val="none"/>
        </w:rPr>
      </w:pPr>
      <w:r>
        <w:rPr>
          <w:bCs/>
          <w:color w:val="000000"/>
          <w:sz w:val="32"/>
          <w:szCs w:val="32"/>
          <w:highlight w:val="none"/>
        </w:rPr>
        <w:t xml:space="preserve">项目名称：</w:t>
      </w:r>
      <w:r>
        <w:rPr>
          <w:rFonts w:hint="eastAsia" w:cs="Times New Roman"/>
          <w:bCs/>
          <w:color w:val="000000"/>
          <w:sz w:val="32"/>
          <w:szCs w:val="32"/>
          <w:highlight w:val="none"/>
          <w:lang w:eastAsia="zh-CN"/>
        </w:rPr>
        <w:t xml:space="preserve">2026-2028年度上黄镇区绿化养护服务项目</w:t>
      </w:r>
      <w:r/>
    </w:p>
    <w:p>
      <w:pPr>
        <w:ind w:left="2621" w:hanging="1689"/>
        <w:jc w:val="left"/>
        <w:spacing w:line="360" w:lineRule="auto"/>
        <w:tabs>
          <w:tab w:val="left" w:pos="3240" w:leader="none"/>
          <w:tab w:val="left" w:pos="3420" w:leader="none"/>
        </w:tabs>
        <w:rPr>
          <w:rFonts w:hint="eastAsia" w:eastAsia="宋体"/>
          <w:bCs/>
          <w:color w:val="000000"/>
          <w:sz w:val="32"/>
          <w:szCs w:val="32"/>
          <w:highlight w:val="none"/>
          <w:lang w:val="en-US" w:eastAsia="zh-CN"/>
        </w:rPr>
      </w:pPr>
      <w:r>
        <w:rPr>
          <w:bCs/>
          <w:color w:val="000000"/>
          <w:sz w:val="32"/>
          <w:szCs w:val="32"/>
          <w:highlight w:val="none"/>
        </w:rPr>
        <w:t xml:space="preserve">项目编号：</w:t>
      </w:r>
      <w:r>
        <w:rPr>
          <w:rFonts w:hint="eastAsia"/>
          <w:bCs/>
          <w:color w:val="000000"/>
          <w:sz w:val="32"/>
          <w:szCs w:val="32"/>
          <w:highlight w:val="none"/>
        </w:rPr>
        <w:t xml:space="preserve">JSZC-320481-LYZB-C2025-0020</w:t>
      </w:r>
      <w:r/>
    </w:p>
    <w:p>
      <w:pPr>
        <w:ind w:left="2621" w:hanging="1689"/>
        <w:jc w:val="left"/>
        <w:spacing w:line="360" w:lineRule="auto"/>
        <w:tabs>
          <w:tab w:val="left" w:pos="3240" w:leader="none"/>
          <w:tab w:val="left" w:pos="3420" w:leader="none"/>
        </w:tabs>
        <w:rPr>
          <w:rFonts w:hint="eastAsia"/>
          <w:bCs/>
          <w:color w:val="000000"/>
          <w:sz w:val="32"/>
          <w:szCs w:val="32"/>
          <w:highlight w:val="none"/>
          <w:lang w:eastAsia="zh-CN"/>
        </w:rPr>
      </w:pPr>
      <w:r>
        <w:rPr>
          <w:bCs/>
          <w:color w:val="000000"/>
          <w:sz w:val="32"/>
          <w:szCs w:val="32"/>
          <w:highlight w:val="none"/>
        </w:rPr>
        <w:t xml:space="preserve">采 购 人：</w:t>
      </w:r>
      <w:r>
        <w:rPr>
          <w:rFonts w:hint="eastAsia"/>
          <w:bCs/>
          <w:color w:val="000000"/>
          <w:sz w:val="32"/>
          <w:szCs w:val="32"/>
          <w:highlight w:val="none"/>
          <w:lang w:eastAsia="zh-CN"/>
        </w:rPr>
        <w:t xml:space="preserve">溧阳市上黄镇人民政府</w:t>
      </w:r>
      <w:r/>
    </w:p>
    <w:p>
      <w:pPr>
        <w:ind w:left="2621" w:hanging="1689"/>
        <w:jc w:val="left"/>
        <w:spacing w:line="360" w:lineRule="auto"/>
        <w:tabs>
          <w:tab w:val="left" w:pos="3240" w:leader="none"/>
          <w:tab w:val="left" w:pos="3420" w:leader="none"/>
        </w:tabs>
        <w:rPr>
          <w:bCs/>
          <w:color w:val="000000"/>
          <w:sz w:val="36"/>
          <w:szCs w:val="36"/>
          <w:highlight w:val="none"/>
        </w:rPr>
      </w:pPr>
      <w:r>
        <w:rPr>
          <w:rFonts w:hint="eastAsia"/>
          <w:bCs/>
          <w:color w:val="000000"/>
          <w:sz w:val="32"/>
          <w:szCs w:val="32"/>
          <w:highlight w:val="none"/>
        </w:rPr>
        <w:t xml:space="preserve">采购</w:t>
      </w:r>
      <w:r>
        <w:rPr>
          <w:bCs/>
          <w:color w:val="000000"/>
          <w:sz w:val="32"/>
          <w:szCs w:val="32"/>
          <w:highlight w:val="none"/>
        </w:rPr>
        <w:t xml:space="preserve">代理机构：</w:t>
      </w:r>
      <w:r>
        <w:rPr>
          <w:rFonts w:hint="eastAsia"/>
          <w:bCs/>
          <w:color w:val="000000"/>
          <w:sz w:val="32"/>
          <w:szCs w:val="32"/>
          <w:highlight w:val="none"/>
          <w:lang w:val="en-US" w:eastAsia="zh-CN"/>
        </w:rPr>
        <w:t xml:space="preserve">溧阳众邦工程项目管理有限公司</w:t>
      </w:r>
      <w:r/>
    </w:p>
    <w:p>
      <w:pPr>
        <w:pStyle w:val="1130"/>
        <w:spacing w:line="360" w:lineRule="auto"/>
        <w:rPr>
          <w:color w:val="000000"/>
          <w:sz w:val="24"/>
          <w:highlight w:val="none"/>
        </w:rPr>
      </w:pPr>
      <w:r>
        <w:rPr>
          <w:b/>
          <w:bCs/>
          <w:color w:val="000000"/>
          <w:sz w:val="44"/>
          <w:highlight w:val="none"/>
        </w:rPr>
        <w:br w:type="page" w:clear="all"/>
      </w:r>
      <w:r/>
    </w:p>
    <w:p>
      <w:pPr>
        <w:pStyle w:val="113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jc w:val="center"/>
        <w:spacing w:line="360" w:lineRule="auto"/>
        <w:rPr>
          <w:b/>
          <w:color w:val="000000"/>
          <w:sz w:val="36"/>
          <w:szCs w:val="36"/>
          <w:highlight w:val="none"/>
        </w:rPr>
        <w:outlineLvl w:val="0"/>
      </w:pPr>
      <w:r/>
      <w:bookmarkStart w:id="0" w:name="_Toc10481892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0"/>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1003"/>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p>
    <w:p>
      <w:pPr>
        <w:pStyle w:val="1003"/>
        <w:rPr>
          <w:rFonts w:ascii="Calibri" w:hAnsi="Calibri"/>
          <w:b w:val="0"/>
          <w:color w:val="000000"/>
          <w:sz w:val="21"/>
          <w:szCs w:val="22"/>
          <w:highlight w:val="none"/>
        </w:rPr>
      </w:pPr>
      <w:r>
        <w:rPr>
          <w:rStyle w:val="1028"/>
          <w:color w:val="000000"/>
          <w:highlight w:val="none"/>
        </w:rPr>
        <w:fldChar w:fldCharType="begin"/>
      </w:r>
      <w:r>
        <w:rPr>
          <w:rStyle w:val="1028"/>
          <w:color w:val="000000"/>
          <w:highlight w:val="none"/>
        </w:rPr>
        <w:instrText xml:space="preserve"> </w:instrText>
      </w:r>
      <w:r>
        <w:rPr>
          <w:color w:val="000000"/>
          <w:highlight w:val="none"/>
        </w:rPr>
        <w:instrText xml:space="preserve">HYPERLINK \l "_Toc104818925"</w:instrText>
      </w:r>
      <w:r>
        <w:rPr>
          <w:rStyle w:val="1028"/>
          <w:color w:val="000000"/>
          <w:highlight w:val="none"/>
        </w:rPr>
        <w:instrText xml:space="preserve"> </w:instrText>
      </w:r>
      <w:r>
        <w:rPr>
          <w:rStyle w:val="1028"/>
          <w:color w:val="000000"/>
          <w:highlight w:val="none"/>
        </w:rPr>
        <w:fldChar w:fldCharType="separate"/>
      </w:r>
      <w:r>
        <w:rPr>
          <w:rStyle w:val="1028"/>
          <w:rFonts w:hint="eastAsia"/>
          <w:color w:val="000000"/>
          <w:highlight w:val="none"/>
        </w:rPr>
        <w:t xml:space="preserve">第一章</w:t>
      </w:r>
      <w:r>
        <w:rPr>
          <w:rStyle w:val="1028"/>
          <w:color w:val="000000"/>
          <w:highlight w:val="none"/>
        </w:rPr>
        <w:t xml:space="preserve">   </w:t>
      </w:r>
      <w:r>
        <w:rPr>
          <w:rStyle w:val="1028"/>
          <w:rFonts w:hint="eastAsia"/>
          <w:color w:val="000000"/>
          <w:highlight w:val="none"/>
        </w:rPr>
        <w:t xml:space="preserve">采购邀请</w:t>
      </w:r>
      <w:r>
        <w:rPr>
          <w:color w:val="000000"/>
          <w:highlight w:val="none"/>
        </w:rPr>
        <w:tab/>
      </w:r>
      <w:r>
        <w:rPr>
          <w:color w:val="000000"/>
          <w:highlight w:val="none"/>
        </w:rPr>
        <w:fldChar w:fldCharType="begin"/>
      </w:r>
      <w:r>
        <w:rPr>
          <w:color w:val="000000"/>
          <w:highlight w:val="none"/>
        </w:rPr>
        <w:instrText xml:space="preserve"> PAGEREF _Toc104818925 \h </w:instrText>
      </w:r>
      <w:r>
        <w:rPr>
          <w:color w:val="000000"/>
          <w:highlight w:val="none"/>
        </w:rPr>
        <w:fldChar w:fldCharType="separate"/>
      </w:r>
      <w:r>
        <w:rPr>
          <w:color w:val="000000"/>
          <w:highlight w:val="none"/>
        </w:rPr>
        <w:t xml:space="preserve">3</w:t>
      </w:r>
      <w:r>
        <w:rPr>
          <w:color w:val="000000"/>
          <w:highlight w:val="none"/>
        </w:rPr>
        <w:fldChar w:fldCharType="end"/>
      </w:r>
      <w:r>
        <w:rPr>
          <w:rStyle w:val="1028"/>
          <w:color w:val="000000"/>
          <w:highlight w:val="none"/>
        </w:rPr>
        <w:fldChar w:fldCharType="end"/>
      </w:r>
      <w:r/>
    </w:p>
    <w:p>
      <w:pPr>
        <w:pStyle w:val="1003"/>
        <w:rPr>
          <w:rFonts w:ascii="Calibri" w:hAnsi="Calibri"/>
          <w:b w:val="0"/>
          <w:color w:val="000000"/>
          <w:sz w:val="21"/>
          <w:szCs w:val="22"/>
          <w:highlight w:val="none"/>
        </w:rPr>
      </w:pPr>
      <w:r>
        <w:rPr>
          <w:rStyle w:val="1028"/>
          <w:color w:val="000000"/>
          <w:highlight w:val="none"/>
        </w:rPr>
        <w:fldChar w:fldCharType="begin"/>
      </w:r>
      <w:r>
        <w:rPr>
          <w:rStyle w:val="1028"/>
          <w:color w:val="000000"/>
          <w:highlight w:val="none"/>
        </w:rPr>
        <w:instrText xml:space="preserve"> </w:instrText>
      </w:r>
      <w:r>
        <w:rPr>
          <w:color w:val="000000"/>
          <w:highlight w:val="none"/>
        </w:rPr>
        <w:instrText xml:space="preserve">HYPERLINK \l "_Toc104818926"</w:instrText>
      </w:r>
      <w:r>
        <w:rPr>
          <w:rStyle w:val="1028"/>
          <w:color w:val="000000"/>
          <w:highlight w:val="none"/>
        </w:rPr>
        <w:instrText xml:space="preserve"> </w:instrText>
      </w:r>
      <w:r>
        <w:rPr>
          <w:rStyle w:val="1028"/>
          <w:color w:val="000000"/>
          <w:highlight w:val="none"/>
        </w:rPr>
        <w:fldChar w:fldCharType="separate"/>
      </w:r>
      <w:r>
        <w:rPr>
          <w:rStyle w:val="1028"/>
          <w:rFonts w:hint="eastAsia"/>
          <w:color w:val="000000"/>
          <w:highlight w:val="none"/>
        </w:rPr>
        <w:t xml:space="preserve">第二章</w:t>
      </w:r>
      <w:r>
        <w:rPr>
          <w:rStyle w:val="1028"/>
          <w:color w:val="000000"/>
          <w:highlight w:val="none"/>
        </w:rPr>
        <w:t xml:space="preserve">   </w:t>
      </w:r>
      <w:r>
        <w:rPr>
          <w:rStyle w:val="1028"/>
          <w:rFonts w:hint="eastAsia"/>
          <w:color w:val="000000"/>
          <w:highlight w:val="none"/>
        </w:rPr>
        <w:t xml:space="preserve">供应商须知</w:t>
      </w:r>
      <w:r>
        <w:rPr>
          <w:color w:val="000000"/>
          <w:highlight w:val="none"/>
        </w:rPr>
        <w:tab/>
      </w:r>
      <w:r>
        <w:rPr>
          <w:color w:val="000000"/>
          <w:highlight w:val="none"/>
        </w:rPr>
        <w:fldChar w:fldCharType="begin"/>
      </w:r>
      <w:r>
        <w:rPr>
          <w:color w:val="000000"/>
          <w:highlight w:val="none"/>
        </w:rPr>
        <w:instrText xml:space="preserve"> PAGEREF _Toc104818926 \h </w:instrText>
      </w:r>
      <w:r>
        <w:rPr>
          <w:color w:val="000000"/>
          <w:highlight w:val="none"/>
        </w:rPr>
        <w:fldChar w:fldCharType="separate"/>
      </w:r>
      <w:r>
        <w:rPr>
          <w:color w:val="000000"/>
          <w:highlight w:val="none"/>
        </w:rPr>
        <w:t xml:space="preserve">7</w:t>
      </w:r>
      <w:r>
        <w:rPr>
          <w:color w:val="000000"/>
          <w:highlight w:val="none"/>
        </w:rPr>
        <w:fldChar w:fldCharType="end"/>
      </w:r>
      <w:r>
        <w:rPr>
          <w:rStyle w:val="1028"/>
          <w:color w:val="000000"/>
          <w:highlight w:val="none"/>
        </w:rPr>
        <w:fldChar w:fldCharType="end"/>
      </w:r>
      <w:r/>
    </w:p>
    <w:p>
      <w:pPr>
        <w:pStyle w:val="1003"/>
        <w:rPr>
          <w:rFonts w:ascii="Calibri" w:hAnsi="Calibri"/>
          <w:b w:val="0"/>
          <w:color w:val="000000"/>
          <w:sz w:val="21"/>
          <w:szCs w:val="22"/>
          <w:highlight w:val="none"/>
        </w:rPr>
      </w:pPr>
      <w:r>
        <w:rPr>
          <w:rStyle w:val="1028"/>
          <w:color w:val="000000"/>
          <w:highlight w:val="none"/>
        </w:rPr>
        <w:fldChar w:fldCharType="begin"/>
      </w:r>
      <w:r>
        <w:rPr>
          <w:rStyle w:val="1028"/>
          <w:color w:val="000000"/>
          <w:highlight w:val="none"/>
        </w:rPr>
        <w:instrText xml:space="preserve"> </w:instrText>
      </w:r>
      <w:r>
        <w:rPr>
          <w:color w:val="000000"/>
          <w:highlight w:val="none"/>
        </w:rPr>
        <w:instrText xml:space="preserve">HYPERLINK \l "_Toc104818927"</w:instrText>
      </w:r>
      <w:r>
        <w:rPr>
          <w:rStyle w:val="1028"/>
          <w:color w:val="000000"/>
          <w:highlight w:val="none"/>
        </w:rPr>
        <w:instrText xml:space="preserve"> </w:instrText>
      </w:r>
      <w:r>
        <w:rPr>
          <w:rStyle w:val="1028"/>
          <w:color w:val="000000"/>
          <w:highlight w:val="none"/>
        </w:rPr>
        <w:fldChar w:fldCharType="separate"/>
      </w:r>
      <w:r>
        <w:rPr>
          <w:rStyle w:val="1028"/>
          <w:rFonts w:hint="eastAsia"/>
          <w:color w:val="000000"/>
          <w:highlight w:val="none"/>
        </w:rPr>
        <w:t xml:space="preserve">第三章</w:t>
      </w:r>
      <w:r>
        <w:rPr>
          <w:rStyle w:val="1028"/>
          <w:color w:val="000000"/>
          <w:highlight w:val="none"/>
        </w:rPr>
        <w:t xml:space="preserve">   </w:t>
      </w:r>
      <w:r>
        <w:rPr>
          <w:rStyle w:val="1028"/>
          <w:rFonts w:hint="eastAsia"/>
          <w:color w:val="000000"/>
          <w:highlight w:val="none"/>
        </w:rPr>
        <w:t xml:space="preserve">评审程序、评审方法和评审标准</w:t>
      </w:r>
      <w:r>
        <w:rPr>
          <w:color w:val="000000"/>
          <w:highlight w:val="none"/>
        </w:rPr>
        <w:tab/>
      </w:r>
      <w:r>
        <w:rPr>
          <w:color w:val="000000"/>
          <w:highlight w:val="none"/>
        </w:rPr>
        <w:fldChar w:fldCharType="begin"/>
      </w:r>
      <w:r>
        <w:rPr>
          <w:color w:val="000000"/>
          <w:highlight w:val="none"/>
        </w:rPr>
        <w:instrText xml:space="preserve"> PAGEREF _Toc104818927 \h </w:instrText>
      </w:r>
      <w:r>
        <w:rPr>
          <w:color w:val="000000"/>
          <w:highlight w:val="none"/>
        </w:rPr>
        <w:fldChar w:fldCharType="separate"/>
      </w:r>
      <w:r>
        <w:rPr>
          <w:color w:val="000000"/>
          <w:highlight w:val="none"/>
        </w:rPr>
        <w:t xml:space="preserve">22</w:t>
      </w:r>
      <w:r>
        <w:rPr>
          <w:color w:val="000000"/>
          <w:highlight w:val="none"/>
        </w:rPr>
        <w:fldChar w:fldCharType="end"/>
      </w:r>
      <w:r>
        <w:rPr>
          <w:rStyle w:val="1028"/>
          <w:color w:val="000000"/>
          <w:highlight w:val="none"/>
        </w:rPr>
        <w:fldChar w:fldCharType="end"/>
      </w:r>
      <w:r/>
    </w:p>
    <w:p>
      <w:pPr>
        <w:pStyle w:val="1003"/>
        <w:rPr>
          <w:rFonts w:ascii="Calibri" w:hAnsi="Calibri"/>
          <w:b w:val="0"/>
          <w:color w:val="000000"/>
          <w:sz w:val="21"/>
          <w:szCs w:val="22"/>
          <w:highlight w:val="none"/>
        </w:rPr>
      </w:pPr>
      <w:r>
        <w:rPr>
          <w:rStyle w:val="1028"/>
          <w:color w:val="000000"/>
          <w:highlight w:val="none"/>
        </w:rPr>
        <w:fldChar w:fldCharType="begin"/>
      </w:r>
      <w:r>
        <w:rPr>
          <w:rStyle w:val="1028"/>
          <w:color w:val="000000"/>
          <w:highlight w:val="none"/>
        </w:rPr>
        <w:instrText xml:space="preserve"> </w:instrText>
      </w:r>
      <w:r>
        <w:rPr>
          <w:color w:val="000000"/>
          <w:highlight w:val="none"/>
        </w:rPr>
        <w:instrText xml:space="preserve">HYPERLINK \l "_Toc104818928"</w:instrText>
      </w:r>
      <w:r>
        <w:rPr>
          <w:rStyle w:val="1028"/>
          <w:color w:val="000000"/>
          <w:highlight w:val="none"/>
        </w:rPr>
        <w:instrText xml:space="preserve"> </w:instrText>
      </w:r>
      <w:r>
        <w:rPr>
          <w:rStyle w:val="1028"/>
          <w:color w:val="000000"/>
          <w:highlight w:val="none"/>
        </w:rPr>
        <w:fldChar w:fldCharType="separate"/>
      </w:r>
      <w:r>
        <w:rPr>
          <w:rStyle w:val="1028"/>
          <w:rFonts w:hint="eastAsia"/>
          <w:color w:val="000000"/>
          <w:highlight w:val="none"/>
        </w:rPr>
        <w:t xml:space="preserve">第四章</w:t>
      </w:r>
      <w:r>
        <w:rPr>
          <w:rStyle w:val="1028"/>
          <w:color w:val="000000"/>
          <w:highlight w:val="none"/>
        </w:rPr>
        <w:t xml:space="preserve">   </w:t>
      </w:r>
      <w:r>
        <w:rPr>
          <w:rStyle w:val="1028"/>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_Toc104818928 \h </w:instrText>
      </w:r>
      <w:r>
        <w:rPr>
          <w:color w:val="000000"/>
          <w:highlight w:val="none"/>
        </w:rPr>
        <w:fldChar w:fldCharType="separate"/>
      </w:r>
      <w:r>
        <w:rPr>
          <w:color w:val="000000"/>
          <w:highlight w:val="none"/>
        </w:rPr>
        <w:t xml:space="preserve">29</w:t>
      </w:r>
      <w:r>
        <w:rPr>
          <w:color w:val="000000"/>
          <w:highlight w:val="none"/>
        </w:rPr>
        <w:fldChar w:fldCharType="end"/>
      </w:r>
      <w:r>
        <w:rPr>
          <w:rStyle w:val="1028"/>
          <w:color w:val="000000"/>
          <w:highlight w:val="none"/>
        </w:rPr>
        <w:fldChar w:fldCharType="end"/>
      </w:r>
      <w:r/>
    </w:p>
    <w:p>
      <w:pPr>
        <w:pStyle w:val="1003"/>
        <w:rPr>
          <w:rFonts w:ascii="Calibri" w:hAnsi="Calibri" w:eastAsia="宋体"/>
          <w:b w:val="0"/>
          <w:color w:val="000000"/>
          <w:sz w:val="21"/>
          <w:szCs w:val="22"/>
          <w:highlight w:val="none"/>
          <w:lang w:val="en-US" w:eastAsia="zh-CN"/>
        </w:rPr>
      </w:pPr>
      <w:r>
        <w:rPr>
          <w:rStyle w:val="1028"/>
          <w:color w:val="000000"/>
          <w:highlight w:val="none"/>
        </w:rPr>
        <w:fldChar w:fldCharType="begin"/>
      </w:r>
      <w:r>
        <w:rPr>
          <w:rStyle w:val="1028"/>
          <w:color w:val="000000"/>
          <w:highlight w:val="none"/>
        </w:rPr>
        <w:instrText xml:space="preserve"> </w:instrText>
      </w:r>
      <w:r>
        <w:rPr>
          <w:color w:val="000000"/>
          <w:highlight w:val="none"/>
        </w:rPr>
        <w:instrText xml:space="preserve">HYPERLINK \l "_Toc104818929"</w:instrText>
      </w:r>
      <w:r>
        <w:rPr>
          <w:rStyle w:val="1028"/>
          <w:color w:val="000000"/>
          <w:highlight w:val="none"/>
        </w:rPr>
        <w:instrText xml:space="preserve"> </w:instrText>
      </w:r>
      <w:r>
        <w:rPr>
          <w:rStyle w:val="1028"/>
          <w:color w:val="000000"/>
          <w:highlight w:val="none"/>
        </w:rPr>
        <w:fldChar w:fldCharType="separate"/>
      </w:r>
      <w:r>
        <w:rPr>
          <w:rStyle w:val="1028"/>
          <w:rFonts w:hint="eastAsia"/>
          <w:color w:val="000000"/>
          <w:highlight w:val="none"/>
        </w:rPr>
        <w:t xml:space="preserve">第五章</w:t>
      </w:r>
      <w:r>
        <w:rPr>
          <w:rStyle w:val="1028"/>
          <w:color w:val="000000"/>
          <w:highlight w:val="none"/>
        </w:rPr>
        <w:t xml:space="preserve">   </w:t>
      </w:r>
      <w:r>
        <w:rPr>
          <w:rStyle w:val="1028"/>
          <w:rFonts w:hint="eastAsia"/>
          <w:color w:val="000000"/>
          <w:highlight w:val="none"/>
        </w:rPr>
        <w:t xml:space="preserve">合同草案条款</w:t>
      </w:r>
      <w:r>
        <w:rPr>
          <w:color w:val="000000"/>
          <w:highlight w:val="none"/>
        </w:rPr>
        <w:tab/>
      </w:r>
      <w:r>
        <w:rPr>
          <w:rStyle w:val="1028"/>
          <w:color w:val="000000"/>
          <w:highlight w:val="none"/>
        </w:rPr>
        <w:fldChar w:fldCharType="end"/>
      </w:r>
      <w:r>
        <w:rPr>
          <w:rStyle w:val="1028"/>
          <w:rFonts w:hint="eastAsia"/>
          <w:color w:val="000000"/>
          <w:highlight w:val="none"/>
          <w:lang w:val="en-US" w:eastAsia="zh-CN"/>
        </w:rPr>
        <w:t xml:space="preserve">36</w:t>
      </w:r>
      <w:r/>
    </w:p>
    <w:p>
      <w:pPr>
        <w:pStyle w:val="1003"/>
        <w:rPr>
          <w:rFonts w:ascii="Calibri" w:hAnsi="Calibri"/>
          <w:b w:val="0"/>
          <w:color w:val="000000"/>
          <w:sz w:val="21"/>
          <w:szCs w:val="22"/>
          <w:highlight w:val="none"/>
        </w:rPr>
      </w:pPr>
      <w:r>
        <w:rPr>
          <w:rStyle w:val="1028"/>
          <w:color w:val="000000"/>
          <w:highlight w:val="none"/>
        </w:rPr>
        <w:fldChar w:fldCharType="begin"/>
      </w:r>
      <w:r>
        <w:rPr>
          <w:rStyle w:val="1028"/>
          <w:color w:val="000000"/>
          <w:highlight w:val="none"/>
        </w:rPr>
        <w:instrText xml:space="preserve"> </w:instrText>
      </w:r>
      <w:r>
        <w:rPr>
          <w:color w:val="000000"/>
          <w:highlight w:val="none"/>
        </w:rPr>
        <w:instrText xml:space="preserve">HYPERLINK \l "_Toc104818930"</w:instrText>
      </w:r>
      <w:r>
        <w:rPr>
          <w:rStyle w:val="1028"/>
          <w:color w:val="000000"/>
          <w:highlight w:val="none"/>
        </w:rPr>
        <w:instrText xml:space="preserve"> </w:instrText>
      </w:r>
      <w:r>
        <w:rPr>
          <w:rStyle w:val="1028"/>
          <w:color w:val="000000"/>
          <w:highlight w:val="none"/>
        </w:rPr>
        <w:fldChar w:fldCharType="separate"/>
      </w:r>
      <w:r>
        <w:rPr>
          <w:rStyle w:val="1028"/>
          <w:rFonts w:hint="eastAsia"/>
          <w:color w:val="000000"/>
          <w:highlight w:val="none"/>
        </w:rPr>
        <w:t xml:space="preserve">第六章</w:t>
      </w:r>
      <w:r>
        <w:rPr>
          <w:rStyle w:val="1028"/>
          <w:color w:val="000000"/>
          <w:highlight w:val="none"/>
        </w:rPr>
        <w:t xml:space="preserve">   </w:t>
      </w:r>
      <w:r>
        <w:rPr>
          <w:rStyle w:val="1028"/>
          <w:rFonts w:hint="eastAsia"/>
          <w:color w:val="000000"/>
          <w:highlight w:val="none"/>
        </w:rPr>
        <w:t xml:space="preserve">响应文件格式</w:t>
      </w:r>
      <w:r>
        <w:rPr>
          <w:color w:val="000000"/>
          <w:highlight w:val="none"/>
        </w:rPr>
        <w:tab/>
      </w:r>
      <w:r>
        <w:rPr>
          <w:color w:val="000000"/>
          <w:highlight w:val="none"/>
        </w:rPr>
        <w:fldChar w:fldCharType="begin"/>
      </w:r>
      <w:r>
        <w:rPr>
          <w:color w:val="000000"/>
          <w:highlight w:val="none"/>
        </w:rPr>
        <w:instrText xml:space="preserve"> PAGEREF _Toc104818930 \h </w:instrText>
      </w:r>
      <w:r>
        <w:rPr>
          <w:color w:val="000000"/>
          <w:highlight w:val="none"/>
        </w:rPr>
        <w:fldChar w:fldCharType="separate"/>
      </w:r>
      <w:r>
        <w:rPr>
          <w:color w:val="000000"/>
          <w:highlight w:val="none"/>
        </w:rPr>
        <w:t xml:space="preserve">51</w:t>
      </w:r>
      <w:r>
        <w:rPr>
          <w:color w:val="000000"/>
          <w:highlight w:val="none"/>
        </w:rPr>
        <w:fldChar w:fldCharType="end"/>
      </w:r>
      <w:r>
        <w:rPr>
          <w:rStyle w:val="1028"/>
          <w:color w:val="000000"/>
          <w:highlight w:val="none"/>
        </w:rPr>
        <w:fldChar w:fldCharType="end"/>
      </w:r>
      <w:r/>
    </w:p>
    <w:p>
      <w:pPr>
        <w:pStyle w:val="1003"/>
        <w:spacing w:line="360" w:lineRule="auto"/>
        <w:rPr>
          <w:rFonts w:ascii="Times New Roman" w:hAnsi="Times New Roman"/>
          <w:b w:val="0"/>
          <w:color w:val="000000"/>
          <w:highlight w:val="none"/>
        </w:rPr>
      </w:pPr>
      <w:r>
        <w:rPr>
          <w:rFonts w:ascii="Times New Roman" w:hAnsi="Times New Roman"/>
          <w:b w:val="0"/>
          <w:color w:val="000000"/>
          <w:highlight w:val="none"/>
        </w:rPr>
        <w:fldChar w:fldCharType="end"/>
      </w:r>
      <w:r/>
    </w:p>
    <w:p>
      <w:pPr>
        <w:pStyle w:val="1003"/>
        <w:spacing w:line="360" w:lineRule="auto"/>
        <w:rPr>
          <w:b w:val="0"/>
          <w:color w:val="000000"/>
          <w:sz w:val="36"/>
          <w:szCs w:val="36"/>
          <w:highlight w:val="none"/>
        </w:rPr>
      </w:pPr>
      <w:r>
        <w:rPr>
          <w:b w:val="0"/>
          <w:color w:val="000000"/>
          <w:sz w:val="36"/>
          <w:szCs w:val="36"/>
          <w:highlight w:val="none"/>
        </w:rPr>
      </w:r>
      <w:r/>
    </w:p>
    <w:p>
      <w:pPr>
        <w:jc w:val="center"/>
        <w:spacing w:line="360" w:lineRule="auto"/>
        <w:rPr>
          <w:b/>
          <w:color w:val="000000"/>
          <w:sz w:val="36"/>
          <w:szCs w:val="36"/>
          <w:highlight w:val="none"/>
        </w:rPr>
        <w:outlineLvl w:val="0"/>
      </w:pPr>
      <w:r>
        <w:rPr>
          <w:rFonts w:hint="eastAsia"/>
          <w:b/>
          <w:color w:val="000000"/>
          <w:sz w:val="36"/>
          <w:szCs w:val="36"/>
          <w:highlight w:val="none"/>
          <w:lang w:val="en-US" w:eastAsia="zh-CN"/>
        </w:rPr>
        <w:t xml:space="preserve">   </w:t>
      </w:r>
      <w:r>
        <w:rPr>
          <w:b/>
          <w:color w:val="000000"/>
          <w:sz w:val="36"/>
          <w:szCs w:val="36"/>
          <w:highlight w:val="none"/>
        </w:rPr>
        <w:br w:type="page" w:clear="all"/>
      </w:r>
      <w:bookmarkStart w:id="1" w:name="_Toc104818925"/>
      <w:r>
        <w:rPr>
          <w:b/>
          <w:color w:val="000000"/>
          <w:sz w:val="36"/>
          <w:szCs w:val="36"/>
          <w:highlight w:val="none"/>
        </w:rPr>
        <w:t xml:space="preserve">第一章   采购邀请</w:t>
      </w:r>
      <w:bookmarkEnd w:id="1"/>
      <w:r/>
      <w:bookmarkStart w:id="2" w:name="_Toc35393621"/>
      <w:r/>
      <w:bookmarkStart w:id="3" w:name="_Toc28359079"/>
      <w:r/>
      <w:bookmarkStart w:id="4" w:name="_Toc35393790"/>
      <w:r/>
      <w:bookmarkStart w:id="5" w:name="_Toc28359002"/>
      <w:r/>
      <w:bookmarkStart w:id="6" w:name="_Hlk24379207"/>
      <w:r/>
      <w:r/>
    </w:p>
    <w:p>
      <w:pPr>
        <w:ind w:firstLine="480"/>
        <w:spacing w:line="360" w:lineRule="auto"/>
        <w:rPr>
          <w:color w:val="000000"/>
          <w:sz w:val="24"/>
          <w:highlight w:val="none"/>
        </w:rPr>
      </w:pPr>
      <w:r>
        <w:rPr>
          <w:color w:val="000000"/>
          <w:sz w:val="24"/>
          <w:highlight w:val="none"/>
        </w:rPr>
      </w:r>
      <w:r/>
    </w:p>
    <w:p>
      <w:pPr>
        <w:pStyle w:val="953"/>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2"/>
      <w:r/>
      <w:bookmarkEnd w:id="3"/>
      <w:r/>
      <w:bookmarkEnd w:id="4"/>
      <w:r/>
      <w:bookmarkEnd w:id="5"/>
      <w:r/>
      <w:bookmarkEnd w:id="6"/>
      <w:r/>
      <w:r/>
    </w:p>
    <w:p>
      <w:pPr>
        <w:ind w:firstLine="480"/>
        <w:spacing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rPr>
        <w:t xml:space="preserve">1.项目编号：</w:t>
      </w:r>
      <w:r>
        <w:rPr>
          <w:rFonts w:hint="eastAsia" w:ascii="宋体" w:hAnsi="宋体" w:eastAsia="宋体" w:cs="宋体"/>
          <w:color w:val="000000"/>
          <w:sz w:val="24"/>
          <w:highlight w:val="none"/>
          <w:u w:val="single"/>
        </w:rPr>
        <w:t xml:space="preserve">JSZC-320481-LYZB-C2025-0020</w:t>
      </w:r>
      <w:r/>
    </w:p>
    <w:p>
      <w:pPr>
        <w:ind w:firstLine="480"/>
        <w:spacing w:line="360" w:lineRule="auto"/>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rPr>
        <w:t xml:space="preserve">2.项目名称：</w:t>
      </w:r>
      <w:r>
        <w:rPr>
          <w:rFonts w:hint="eastAsia" w:ascii="宋体" w:hAnsi="宋体" w:cs="宋体"/>
          <w:color w:val="000000"/>
          <w:sz w:val="24"/>
          <w:highlight w:val="none"/>
          <w:u w:val="single"/>
          <w:lang w:eastAsia="zh-CN"/>
        </w:rPr>
        <w:t xml:space="preserve">2026-2028年度上黄镇区绿化养护服务项目</w:t>
      </w:r>
      <w:r>
        <w:rPr>
          <w:rFonts w:hint="eastAsia" w:ascii="宋体" w:hAnsi="宋体" w:eastAsia="宋体" w:cs="宋体"/>
          <w:color w:val="000000"/>
          <w:sz w:val="24"/>
          <w:highlight w:val="none"/>
          <w:u w:val="single"/>
          <w:lang w:val="en-US" w:eastAsia="zh-CN"/>
        </w:rPr>
        <w:t xml:space="preserve">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3.采购方式：竞争性磋商</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4.项目预算金额：</w:t>
      </w:r>
      <w:r>
        <w:rPr>
          <w:rFonts w:hint="eastAsia" w:ascii="宋体" w:hAnsi="宋体" w:cs="宋体"/>
          <w:color w:val="000000"/>
          <w:sz w:val="24"/>
          <w:highlight w:val="none"/>
          <w:u w:val="single"/>
          <w:lang w:val="en-US" w:eastAsia="zh-CN"/>
        </w:rPr>
        <w:t xml:space="preserve">313</w:t>
      </w:r>
      <w:r>
        <w:rPr>
          <w:rFonts w:hint="eastAsia" w:ascii="宋体" w:hAnsi="宋体" w:eastAsia="宋体" w:cs="宋体"/>
          <w:color w:val="000000"/>
          <w:sz w:val="24"/>
          <w:highlight w:val="none"/>
        </w:rPr>
        <w:t xml:space="preserve">万元</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lang w:val="en-US" w:eastAsia="zh-CN"/>
        </w:rPr>
        <w:t xml:space="preserve">最高限</w:t>
      </w:r>
      <w:r>
        <w:rPr>
          <w:rFonts w:hint="eastAsia" w:ascii="宋体" w:hAnsi="宋体" w:eastAsia="宋体" w:cs="宋体"/>
          <w:color w:val="000000"/>
          <w:sz w:val="24"/>
          <w:highlight w:val="none"/>
          <w:lang w:eastAsia="zh-CN"/>
        </w:rPr>
        <w:t xml:space="preserve">价</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u w:val="single"/>
          <w:lang w:val="en-US" w:eastAsia="zh-CN"/>
        </w:rPr>
        <w:t xml:space="preserve">312.87</w:t>
      </w:r>
      <w:r>
        <w:rPr>
          <w:rFonts w:hint="eastAsia" w:ascii="宋体" w:hAnsi="宋体" w:eastAsia="宋体" w:cs="宋体"/>
          <w:color w:val="000000"/>
          <w:sz w:val="24"/>
          <w:highlight w:val="none"/>
        </w:rPr>
        <w:t xml:space="preserve">万</w:t>
      </w:r>
      <w:r>
        <w:rPr>
          <w:rFonts w:hint="eastAsia" w:ascii="宋体" w:hAnsi="宋体" w:eastAsia="宋体" w:cs="宋体"/>
          <w:color w:val="000000"/>
          <w:sz w:val="24"/>
          <w:highlight w:val="none"/>
          <w:lang w:eastAsia="zh-CN"/>
        </w:rPr>
        <w:t xml:space="preserve">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u w:val="single"/>
          <w:lang w:val="en-US" w:eastAsia="zh-CN"/>
        </w:rPr>
        <w:t xml:space="preserve">104.29</w:t>
      </w:r>
      <w:r>
        <w:rPr>
          <w:rFonts w:hint="eastAsia" w:ascii="宋体" w:hAnsi="宋体" w:cs="宋体"/>
          <w:color w:val="000000"/>
          <w:sz w:val="24"/>
          <w:highlight w:val="none"/>
          <w:u w:val="none"/>
          <w:lang w:val="en-US" w:eastAsia="zh-CN"/>
        </w:rPr>
        <w:t xml:space="preserve">万元/年</w:t>
      </w:r>
      <w:r>
        <w:rPr>
          <w:rFonts w:hint="eastAsia" w:ascii="宋体" w:hAnsi="宋体" w:eastAsia="宋体" w:cs="宋体"/>
          <w:color w:val="000000"/>
          <w:sz w:val="24"/>
          <w:highlight w:val="none"/>
          <w:lang w:val="en-US" w:eastAsia="zh-CN"/>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r/>
    </w:p>
    <w:tbl>
      <w:tblPr>
        <w:tblStyle w:val="781"/>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544"/>
        <w:gridCol w:w="1686"/>
        <w:gridCol w:w="989"/>
        <w:gridCol w:w="4237"/>
      </w:tblGrid>
      <w:tr>
        <w:trPr>
          <w:trHeight w:val="454"/>
        </w:trPr>
        <w:tc>
          <w:tcPr>
            <w:tcW w:w="380"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包号</w:t>
            </w:r>
            <w:r/>
          </w:p>
        </w:tc>
        <w:tc>
          <w:tcPr>
            <w:tcW w:w="843"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标的名称</w:t>
            </w:r>
            <w:r/>
          </w:p>
        </w:tc>
        <w:tc>
          <w:tcPr>
            <w:tcW w:w="921"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采购包预算金额</w:t>
            </w:r>
            <w:r/>
          </w:p>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（万元）</w:t>
            </w:r>
            <w:r/>
          </w:p>
        </w:tc>
        <w:tc>
          <w:tcPr>
            <w:tcW w:w="540"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数量</w:t>
            </w:r>
            <w:r/>
          </w:p>
        </w:tc>
        <w:tc>
          <w:tcPr>
            <w:tcW w:w="2314" w:type="dxa"/>
            <w:vAlign w:val="center"/>
            <w:textDirection w:val="lrTb"/>
            <w:noWrap w:val="false"/>
          </w:tcPr>
          <w:p>
            <w:pPr>
              <w:jc w:val="center"/>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简要技术需求或服务要求</w:t>
            </w:r>
            <w:r/>
          </w:p>
        </w:tc>
      </w:tr>
      <w:tr>
        <w:trPr>
          <w:trHeight w:val="1171"/>
        </w:trPr>
        <w:tc>
          <w:tcPr>
            <w:tcW w:w="380"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01</w:t>
            </w:r>
            <w:r/>
          </w:p>
        </w:tc>
        <w:tc>
          <w:tcPr>
            <w:tcW w:w="843" w:type="dxa"/>
            <w:vAlign w:val="center"/>
            <w:textDirection w:val="lrTb"/>
            <w:noWrap w:val="false"/>
          </w:tcPr>
          <w:p>
            <w:pPr>
              <w:jc w:val="center"/>
              <w:rPr>
                <w:rFonts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2026-2028年度上黄镇区绿化养护服务项目</w:t>
            </w:r>
            <w:r/>
          </w:p>
        </w:tc>
        <w:tc>
          <w:tcPr>
            <w:tcW w:w="921" w:type="dxa"/>
            <w:vAlign w:val="center"/>
            <w:textDirection w:val="lrTb"/>
            <w:noWrap w:val="false"/>
          </w:tcPr>
          <w:p>
            <w:pPr>
              <w:jc w:val="center"/>
              <w:rPr>
                <w:rFonts w:hint="default" w:ascii="宋体" w:hAnsi="宋体" w:eastAsia="宋体" w:cs="宋体"/>
                <w:bCs/>
                <w:color w:val="000000"/>
                <w:sz w:val="21"/>
                <w:szCs w:val="21"/>
                <w:highlight w:val="none"/>
                <w:lang w:val="en-US" w:eastAsia="en-US"/>
              </w:rPr>
            </w:pPr>
            <w:r>
              <w:rPr>
                <w:rFonts w:hint="eastAsia" w:ascii="宋体" w:hAnsi="宋体" w:cs="宋体"/>
                <w:color w:val="000000"/>
                <w:sz w:val="21"/>
                <w:szCs w:val="21"/>
                <w:highlight w:val="none"/>
                <w:u w:val="none"/>
                <w:lang w:val="en-US" w:eastAsia="zh-CN"/>
              </w:rPr>
              <w:t xml:space="preserve">313</w:t>
            </w:r>
            <w:r/>
          </w:p>
        </w:tc>
        <w:tc>
          <w:tcPr>
            <w:tcW w:w="540" w:type="dxa"/>
            <w:vAlign w:val="center"/>
            <w:textDirection w:val="lrTb"/>
            <w:noWrap w:val="false"/>
          </w:tcPr>
          <w:p>
            <w:pPr>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p>
        </w:tc>
        <w:tc>
          <w:tcPr>
            <w:tcW w:w="2314" w:type="dxa"/>
            <w:vAlign w:val="center"/>
            <w:textDirection w:val="lrTb"/>
            <w:noWrap w:val="false"/>
          </w:tcPr>
          <w:p>
            <w:pPr>
              <w:jc w:val="left"/>
              <w:rPr>
                <w:rFonts w:hint="eastAsia" w:ascii="宋体" w:hAnsi="宋体" w:eastAsia="微软雅黑"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 xml:space="preserve">提升绿化养护质量，规范用工，对镇区绿化养护服务项目进行采购。</w:t>
            </w:r>
            <w:r/>
          </w:p>
        </w:tc>
      </w:tr>
    </w:tbl>
    <w:p>
      <w:pPr>
        <w:ind w:left="-62" w:firstLine="482"/>
        <w:spacing w:line="312" w:lineRule="auto"/>
        <w:rPr>
          <w:rFonts w:hint="eastAsia"/>
          <w:sz w:val="24"/>
        </w:rPr>
      </w:pPr>
      <w:r>
        <w:rPr>
          <w:color w:val="000000"/>
          <w:sz w:val="24"/>
          <w:highlight w:val="none"/>
        </w:rPr>
        <w:t xml:space="preserve">6.合同履行期限：</w:t>
      </w:r>
      <w:r>
        <w:rPr>
          <w:rFonts w:hint="eastAsia"/>
          <w:sz w:val="24"/>
          <w:highlight w:val="none"/>
          <w:u w:val="single"/>
        </w:rPr>
        <w:t xml:space="preserve">3年，合同一年一签，合同期满成交投标人无违约行为或整改到位的可续签 1年合同，续签次数不得超过 2次（含 2次），如有违约行为且整改不到位的，不予续签。</w:t>
      </w:r>
      <w:r/>
    </w:p>
    <w:p>
      <w:pPr>
        <w:ind w:firstLine="480"/>
        <w:spacing w:line="360" w:lineRule="auto"/>
        <w:rPr>
          <w:color w:val="000000"/>
          <w:sz w:val="24"/>
          <w:highlight w:val="none"/>
        </w:rPr>
      </w:pPr>
      <w:r>
        <w:rPr>
          <w:color w:val="000000"/>
          <w:sz w:val="24"/>
          <w:highlight w:val="none"/>
        </w:rPr>
        <w:t xml:space="preserve">7.本项目是否接受联合体：否。</w:t>
      </w:r>
      <w:r/>
    </w:p>
    <w:p>
      <w:pPr>
        <w:ind w:firstLine="480"/>
        <w:spacing w:line="360" w:lineRule="auto"/>
        <w:rPr>
          <w:color w:val="000000"/>
          <w:sz w:val="24"/>
          <w:highlight w:val="none"/>
        </w:rPr>
      </w:pPr>
      <w:r/>
      <w:bookmarkStart w:id="7" w:name="_Toc35393622"/>
      <w:r/>
      <w:bookmarkStart w:id="8" w:name="_Toc28359080"/>
      <w:r/>
      <w:bookmarkStart w:id="9" w:name="_Toc28359003"/>
      <w:r/>
      <w:bookmarkStart w:id="10" w:name="_Toc35393791"/>
      <w:r>
        <w:rPr>
          <w:rFonts w:hint="eastAsia"/>
          <w:color w:val="000000"/>
          <w:sz w:val="24"/>
          <w:highlight w:val="none"/>
        </w:rPr>
        <w:t xml:space="preserve">8.</w:t>
      </w:r>
      <w:r>
        <w:rPr>
          <w:color w:val="000000"/>
          <w:sz w:val="24"/>
          <w:highlight w:val="none"/>
        </w:rPr>
        <w:t xml:space="preserve">本项目是否接受</w:t>
      </w:r>
      <w:r>
        <w:rPr>
          <w:rFonts w:hint="eastAsia"/>
          <w:color w:val="000000"/>
          <w:sz w:val="24"/>
          <w:highlight w:val="none"/>
        </w:rPr>
        <w:t xml:space="preserve">进口产品响应</w:t>
      </w:r>
      <w:r>
        <w:rPr>
          <w:color w:val="000000"/>
          <w:sz w:val="24"/>
          <w:highlight w:val="none"/>
        </w:rPr>
        <w:t xml:space="preserve">：否。</w:t>
      </w:r>
      <w:r/>
    </w:p>
    <w:p>
      <w:pPr>
        <w:pStyle w:val="953"/>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7"/>
      <w:r/>
      <w:bookmarkEnd w:id="8"/>
      <w:r/>
      <w:bookmarkEnd w:id="9"/>
      <w:r/>
      <w:bookmarkEnd w:id="10"/>
      <w:r/>
      <w:r/>
    </w:p>
    <w:p>
      <w:pPr>
        <w:ind w:firstLine="480"/>
        <w:spacing w:line="360" w:lineRule="auto"/>
        <w:rPr>
          <w:rFonts w:hint="eastAsia"/>
          <w:color w:val="000000"/>
          <w:sz w:val="24"/>
          <w:highlight w:val="none"/>
        </w:rPr>
      </w:pPr>
      <w:r/>
      <w:bookmarkStart w:id="11" w:name="_Toc28359081"/>
      <w:r/>
      <w:bookmarkStart w:id="12"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p>
    <w:p>
      <w:pPr>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sz w:val="24"/>
          <w:highlight w:val="none"/>
        </w:rPr>
      </w:pPr>
      <w:r>
        <w:rPr>
          <w:color w:val="000000"/>
          <w:sz w:val="24"/>
          <w:highlight w:val="none"/>
        </w:rPr>
        <w:t xml:space="preserve">2.落实政府采购政策需满足的资格要求：</w:t>
      </w:r>
      <w:r/>
    </w:p>
    <w:p>
      <w:pPr>
        <w:ind w:firstLine="480"/>
        <w:spacing w:line="360" w:lineRule="auto"/>
        <w:rPr>
          <w:color w:val="000000"/>
          <w:sz w:val="24"/>
          <w:highlight w:val="none"/>
        </w:rPr>
      </w:pPr>
      <w:r>
        <w:rPr>
          <w:color w:val="000000"/>
          <w:sz w:val="24"/>
          <w:highlight w:val="none"/>
        </w:rPr>
        <w:t xml:space="preserve">2.1 中小企业政策</w:t>
      </w:r>
      <w:r/>
    </w:p>
    <w:p>
      <w:pPr>
        <w:ind w:firstLine="420"/>
        <w:spacing w:line="360" w:lineRule="auto"/>
        <w:rPr>
          <w:color w:val="000000"/>
          <w:sz w:val="24"/>
          <w:highlight w:val="none"/>
        </w:rPr>
      </w:pPr>
      <w:r>
        <w:rPr>
          <w:rFonts w:hint="eastAsia" w:ascii="宋体" w:hAnsi="宋体" w:eastAsia="宋体" w:cs="宋体"/>
          <w:color w:val="000000"/>
          <w:highlight w:val="none"/>
          <w:lang w:eastAsia="zh-CN"/>
        </w:rPr>
        <w:t xml:space="preserve">□</w:t>
      </w:r>
      <w:r>
        <w:rPr>
          <w:color w:val="000000"/>
          <w:sz w:val="24"/>
          <w:highlight w:val="none"/>
        </w:rPr>
        <w:t xml:space="preserve">本项目不专门面向中小企业预留采购份额。</w:t>
      </w:r>
      <w:r/>
    </w:p>
    <w:p>
      <w:pPr>
        <w:ind w:firstLine="420"/>
        <w:spacing w:line="360" w:lineRule="auto"/>
        <w:rPr>
          <w:color w:val="000000"/>
          <w:sz w:val="24"/>
          <w:highlight w:val="none"/>
        </w:rPr>
      </w:pPr>
      <w:r>
        <w:rPr>
          <w:rFonts w:hint="eastAsia" w:ascii="宋体" w:hAnsi="宋体" w:eastAsia="宋体" w:cs="宋体"/>
          <w:color w:val="000000"/>
          <w:highlight w:val="none"/>
          <w:lang w:eastAsia="zh-CN"/>
        </w:rPr>
        <w:t xml:space="preserve">☑</w:t>
      </w:r>
      <w:r>
        <w:rPr>
          <w:color w:val="000000"/>
          <w:sz w:val="24"/>
          <w:highlight w:val="none"/>
        </w:rPr>
        <w:t xml:space="preserve">本项目专门面向  </w:t>
      </w:r>
      <w:r>
        <w:rPr>
          <w:rFonts w:hint="eastAsia"/>
          <w:color w:val="000000"/>
          <w:highlight w:val="none"/>
          <w:lang w:eastAsia="zh-CN"/>
        </w:rPr>
        <w:t xml:space="preserve">☑</w:t>
      </w:r>
      <w:r>
        <w:rPr>
          <w:color w:val="000000"/>
          <w:sz w:val="24"/>
          <w:highlight w:val="none"/>
        </w:rPr>
        <w:t xml:space="preserve">中小 </w:t>
      </w:r>
      <w:r>
        <w:rPr>
          <w:color w:val="000000"/>
          <w:highlight w:val="none"/>
        </w:rPr>
        <w:t xml:space="preserve">□</w:t>
      </w:r>
      <w:r>
        <w:rPr>
          <w:color w:val="000000"/>
          <w:sz w:val="24"/>
          <w:highlight w:val="none"/>
        </w:rPr>
        <w:t xml:space="preserve">小微企业  采购。即：提供的货物全部由符合政策要求的中小/小微企业制造、服务全部由符合政策要求的中小/小微企业承接。</w:t>
      </w:r>
      <w:r/>
    </w:p>
    <w:p>
      <w:pPr>
        <w:ind w:firstLine="420"/>
        <w:spacing w:line="360" w:lineRule="auto"/>
        <w:rPr>
          <w:color w:val="000000"/>
          <w:sz w:val="24"/>
          <w:highlight w:val="none"/>
        </w:rPr>
      </w:pPr>
      <w:r>
        <w:rPr>
          <w:color w:val="000000"/>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color w:val="000000"/>
          <w:sz w:val="24"/>
          <w:highlight w:val="none"/>
          <w:u w:val="single"/>
        </w:rPr>
        <w:t xml:space="preserve">  </w:t>
      </w:r>
      <w:r>
        <w:rPr>
          <w:rFonts w:hint="eastAsia"/>
          <w:color w:val="000000"/>
          <w:sz w:val="24"/>
          <w:highlight w:val="none"/>
          <w:u w:val="single"/>
          <w:lang w:val="en-US" w:eastAsia="zh-CN"/>
        </w:rPr>
        <w:t xml:space="preserve"> </w:t>
      </w:r>
      <w:r>
        <w:rPr>
          <w:rFonts w:hint="eastAsia"/>
          <w:color w:val="000000"/>
          <w:sz w:val="24"/>
          <w:highlight w:val="none"/>
          <w:u w:val="single"/>
        </w:rPr>
        <w:t xml:space="preserve"> / </w:t>
      </w:r>
      <w:r>
        <w:rPr>
          <w:rFonts w:hint="eastAsia"/>
          <w:color w:val="000000"/>
          <w:sz w:val="24"/>
          <w:highlight w:val="none"/>
          <w:u w:val="single"/>
          <w:lang w:val="en-US" w:eastAsia="zh-CN"/>
        </w:rPr>
        <w:t xml:space="preserve">    </w:t>
      </w:r>
      <w:r>
        <w:rPr>
          <w:rFonts w:hint="eastAsia"/>
          <w:color w:val="000000"/>
          <w:sz w:val="24"/>
          <w:highlight w:val="none"/>
        </w:rPr>
        <w:t xml:space="preserve">。</w:t>
      </w:r>
      <w:r/>
    </w:p>
    <w:p>
      <w:pPr>
        <w:ind w:firstLine="480"/>
        <w:spacing w:line="360" w:lineRule="auto"/>
        <w:rPr>
          <w:color w:val="000000"/>
          <w:sz w:val="24"/>
          <w:highlight w:val="none"/>
        </w:rPr>
      </w:pPr>
      <w:r>
        <w:rPr>
          <w:color w:val="000000"/>
          <w:sz w:val="24"/>
          <w:highlight w:val="none"/>
        </w:rPr>
        <w:t xml:space="preserve">2.2 其它落实政府采购政策的资格要求：</w:t>
      </w:r>
      <w:r>
        <w:rPr>
          <w:rFonts w:hint="eastAsia"/>
          <w:color w:val="000000"/>
          <w:sz w:val="24"/>
          <w:highlight w:val="none"/>
          <w:u w:val="single"/>
          <w:lang w:val="en-US" w:eastAsia="zh-CN"/>
        </w:rPr>
        <w:t xml:space="preserve">   /    </w:t>
      </w:r>
      <w:r>
        <w:rPr>
          <w:rFonts w:hint="eastAsia"/>
          <w:color w:val="000000"/>
          <w:sz w:val="24"/>
          <w:highlight w:val="none"/>
        </w:rPr>
        <w:t xml:space="preserve">。</w:t>
      </w:r>
      <w:r/>
    </w:p>
    <w:p>
      <w:pPr>
        <w:ind w:firstLine="480"/>
        <w:spacing w:line="360" w:lineRule="auto"/>
        <w:rPr>
          <w:rFonts w:hint="eastAsia" w:ascii="宋体" w:hAnsi="宋体" w:eastAsia="宋体" w:cs="宋体"/>
          <w:i/>
          <w:iCs/>
          <w:color w:val="000000"/>
          <w:sz w:val="24"/>
          <w:highlight w:val="none"/>
          <w:u w:val="single"/>
        </w:rPr>
      </w:pPr>
      <w:r>
        <w:rPr>
          <w:rFonts w:hint="eastAsia" w:ascii="宋体" w:hAnsi="宋体" w:eastAsia="宋体" w:cs="宋体"/>
          <w:color w:val="000000"/>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3.1本项目是否接受分支机构参与响应：否；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3.2 本项目是否属于政府购买服务：否</w:t>
      </w:r>
      <w:r>
        <w:rPr>
          <w:rFonts w:hint="eastAsia" w:ascii="宋体" w:hAnsi="宋体" w:eastAsia="宋体" w:cs="宋体"/>
          <w:color w:val="000000"/>
          <w:sz w:val="24"/>
          <w:highlight w:val="none"/>
          <w:lang w:eastAsia="zh-CN"/>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rPr>
        <w:t xml:space="preserve">3.3其他特定资格要求：</w:t>
      </w:r>
      <w:r>
        <w:rPr>
          <w:rFonts w:hint="eastAsia" w:ascii="宋体" w:hAnsi="宋体" w:eastAsia="宋体" w:cs="宋体"/>
          <w:color w:val="000000"/>
          <w:sz w:val="24"/>
          <w:highlight w:val="none"/>
          <w:lang w:val="en-US" w:eastAsia="zh-CN"/>
        </w:rPr>
        <w:t xml:space="preserve">无</w:t>
      </w:r>
      <w:bookmarkEnd w:id="11"/>
      <w:r/>
      <w:bookmarkEnd w:id="12"/>
      <w:r/>
      <w:r/>
    </w:p>
    <w:p>
      <w:pPr>
        <w:spacing w:line="360" w:lineRule="auto"/>
        <w:tabs>
          <w:tab w:val="left" w:pos="900" w:leader="none"/>
          <w:tab w:val="left" w:pos="1134" w:leader="none"/>
          <w:tab w:val="left" w:pos="1589" w:leader="none"/>
          <w:tab w:val="left" w:pos="5521" w:leader="none"/>
        </w:tabs>
        <w:rPr>
          <w:rFonts w:ascii="Times New Roman" w:hAnsi="Times New Roman" w:eastAsia="宋体"/>
          <w:b/>
          <w:bCs/>
          <w:color w:val="000000"/>
          <w:sz w:val="24"/>
          <w:szCs w:val="24"/>
          <w:highlight w:val="none"/>
        </w:rPr>
      </w:pPr>
      <w:r/>
      <w:bookmarkStart w:id="13" w:name="_Toc35393623"/>
      <w:r/>
      <w:bookmarkStart w:id="14" w:name="_Toc35393792"/>
      <w:r>
        <w:rPr>
          <w:rFonts w:ascii="Times New Roman" w:hAnsi="Times New Roman" w:eastAsia="宋体"/>
          <w:b/>
          <w:bCs/>
          <w:color w:val="000000"/>
          <w:sz w:val="24"/>
          <w:szCs w:val="24"/>
          <w:highlight w:val="none"/>
        </w:rPr>
        <w:t xml:space="preserve">三、获取采购文件</w:t>
      </w:r>
      <w:bookmarkEnd w:id="13"/>
      <w:r/>
      <w:bookmarkEnd w:id="14"/>
      <w:r/>
      <w:r/>
    </w:p>
    <w:p>
      <w:pPr>
        <w:ind w:firstLine="480"/>
        <w:spacing w:line="360" w:lineRule="auto"/>
        <w:rPr>
          <w:rFonts w:hint="eastAsia"/>
          <w:color w:val="000000"/>
          <w:sz w:val="24"/>
          <w:highlight w:val="none"/>
          <w:lang w:bidi="ar"/>
        </w:rPr>
      </w:pPr>
      <w:r>
        <w:rPr>
          <w:color w:val="000000"/>
          <w:sz w:val="24"/>
          <w:highlight w:val="none"/>
          <w:lang w:bidi="ar"/>
        </w:rPr>
        <w:t xml:space="preserve">1.时间：自磋商文件公告发布之日起5个工作日</w:t>
      </w:r>
      <w:r>
        <w:rPr>
          <w:rFonts w:hint="eastAsia"/>
          <w:color w:val="000000"/>
          <w:sz w:val="24"/>
          <w:highlight w:val="none"/>
          <w:lang w:bidi="ar"/>
        </w:rPr>
        <w:t xml:space="preserve"> </w:t>
      </w:r>
      <w:r/>
    </w:p>
    <w:p>
      <w:pPr>
        <w:ind w:firstLine="480"/>
        <w:spacing w:line="360" w:lineRule="auto"/>
        <w:rPr>
          <w:color w:val="000000"/>
          <w:sz w:val="24"/>
          <w:highlight w:val="none"/>
        </w:rPr>
      </w:pPr>
      <w:r>
        <w:rPr>
          <w:color w:val="000000"/>
          <w:sz w:val="24"/>
          <w:highlight w:val="none"/>
          <w:lang w:bidi="ar"/>
        </w:rPr>
        <w:t xml:space="preserve">2.地点：“苏采云”政府采购一体化平台</w:t>
      </w:r>
      <w:r/>
    </w:p>
    <w:p>
      <w:pPr>
        <w:ind w:firstLine="480"/>
        <w:jc w:val="left"/>
        <w:spacing w:line="360" w:lineRule="auto"/>
        <w:widowControl/>
        <w:rPr>
          <w:rFonts w:eastAsia="宋体"/>
          <w:color w:val="000000"/>
          <w:highlight w:val="none"/>
          <w:lang w:eastAsia="en-US"/>
        </w:rPr>
      </w:pPr>
      <w:r>
        <w:rPr>
          <w:color w:val="000000"/>
          <w:sz w:val="24"/>
          <w:highlight w:val="none"/>
          <w:lang w:bidi="ar"/>
        </w:rPr>
        <w:t xml:space="preserve">3.方式：</w:t>
      </w:r>
      <w:r>
        <w:rPr>
          <w:rFonts w:hint="eastAsia" w:ascii="Times New Roman" w:hAnsi="Times New Roman" w:eastAsia="宋体" w:cs="Times New Roman"/>
          <w:color w:val="000000"/>
          <w:sz w:val="24"/>
          <w:highlight w:val="none"/>
          <w:lang w:val="en-US" w:eastAsia="en-US" w:bidi="ar"/>
        </w:rPr>
        <w:t xml:space="preserve">供应商完成注册并办理</w:t>
      </w:r>
      <w:r>
        <w:rPr>
          <w:rFonts w:ascii="Times New Roman" w:hAnsi="Times New Roman" w:eastAsia="宋体" w:cs="Times New Roman"/>
          <w:color w:val="000000"/>
          <w:sz w:val="24"/>
          <w:highlight w:val="none"/>
          <w:lang w:eastAsia="en-US" w:bidi="ar"/>
        </w:rPr>
        <w:t xml:space="preserve">CA</w:t>
      </w:r>
      <w:r>
        <w:rPr>
          <w:rFonts w:hint="eastAsia" w:ascii="Times New Roman" w:hAnsi="Times New Roman" w:eastAsia="宋体" w:cs="Times New Roman"/>
          <w:color w:val="000000"/>
          <w:sz w:val="24"/>
          <w:highlight w:val="none"/>
          <w:lang w:val="en-US" w:eastAsia="en-US" w:bidi="ar"/>
        </w:rPr>
        <w:t xml:space="preserve">证书后登陆系统平台</w:t>
      </w:r>
      <w:r>
        <w:rPr>
          <w:rFonts w:ascii="Times New Roman" w:hAnsi="Times New Roman" w:eastAsia="宋体" w:cs="Times New Roman"/>
          <w:color w:val="000000"/>
          <w:sz w:val="24"/>
          <w:highlight w:val="none"/>
          <w:lang w:eastAsia="en-US" w:bidi="ar"/>
        </w:rPr>
        <w:t xml:space="preserve">，</w:t>
      </w:r>
      <w:r>
        <w:rPr>
          <w:rFonts w:hint="eastAsia" w:ascii="Times New Roman" w:hAnsi="Times New Roman" w:eastAsia="宋体" w:cs="Times New Roman"/>
          <w:color w:val="000000"/>
          <w:sz w:val="24"/>
          <w:highlight w:val="none"/>
          <w:lang w:val="en-US" w:eastAsia="en-US" w:bidi="ar"/>
        </w:rPr>
        <w:t xml:space="preserve">下载本项目电子版磋商文件</w:t>
      </w:r>
      <w:r>
        <w:rPr>
          <w:rFonts w:ascii="Times New Roman" w:hAnsi="Times New Roman" w:eastAsia="宋体" w:cs="Times New Roman"/>
          <w:color w:val="000000"/>
          <w:sz w:val="24"/>
          <w:highlight w:val="none"/>
          <w:lang w:eastAsia="en-US" w:bidi="ar"/>
        </w:rPr>
        <w:t xml:space="preserve">。</w:t>
      </w:r>
      <w:r/>
    </w:p>
    <w:p>
      <w:pPr>
        <w:ind w:firstLine="480"/>
        <w:jc w:val="left"/>
        <w:spacing w:line="360" w:lineRule="auto"/>
        <w:widowControl/>
        <w:rPr>
          <w:color w:val="000000"/>
          <w:sz w:val="24"/>
          <w:highlight w:val="none"/>
        </w:rPr>
      </w:pPr>
      <w:r>
        <w:rPr>
          <w:color w:val="000000"/>
          <w:sz w:val="24"/>
          <w:highlight w:val="none"/>
          <w:lang w:bidi="ar"/>
        </w:rPr>
        <w:t xml:space="preserve">4.售价：0元。</w:t>
      </w:r>
      <w:r/>
    </w:p>
    <w:p>
      <w:pPr>
        <w:pStyle w:val="953"/>
        <w:jc w:val="left"/>
        <w:spacing w:before="0" w:line="360" w:lineRule="auto"/>
        <w:widowControl/>
        <w:rPr>
          <w:rFonts w:ascii="Times New Roman" w:hAnsi="Times New Roman" w:eastAsia="宋体"/>
          <w:color w:val="000000"/>
          <w:sz w:val="24"/>
          <w:szCs w:val="24"/>
          <w:highlight w:val="none"/>
        </w:rPr>
      </w:pPr>
      <w:r/>
      <w:bookmarkStart w:id="15" w:name="_Toc35393624"/>
      <w:r/>
      <w:bookmarkStart w:id="16" w:name="_Toc28359082"/>
      <w:r/>
      <w:bookmarkStart w:id="17" w:name="_Toc28359005"/>
      <w:r/>
      <w:bookmarkStart w:id="18" w:name="_Toc35393793"/>
      <w:r>
        <w:rPr>
          <w:rFonts w:ascii="Times New Roman" w:hAnsi="Times New Roman" w:eastAsia="宋体"/>
          <w:color w:val="000000"/>
          <w:sz w:val="24"/>
          <w:szCs w:val="24"/>
          <w:highlight w:val="none"/>
        </w:rPr>
        <w:t xml:space="preserve">四、</w:t>
      </w:r>
      <w:bookmarkEnd w:id="15"/>
      <w:r/>
      <w:bookmarkEnd w:id="16"/>
      <w:r/>
      <w:bookmarkEnd w:id="17"/>
      <w:r/>
      <w:bookmarkEnd w:id="18"/>
      <w:r>
        <w:rPr>
          <w:rFonts w:ascii="Times New Roman" w:hAnsi="Times New Roman" w:eastAsia="宋体"/>
          <w:color w:val="000000"/>
          <w:sz w:val="24"/>
          <w:szCs w:val="24"/>
          <w:highlight w:val="none"/>
        </w:rPr>
        <w:t xml:space="preserve">响应文件提交</w:t>
      </w:r>
      <w:r/>
    </w:p>
    <w:p>
      <w:pPr>
        <w:ind w:firstLine="480"/>
        <w:spacing w:line="360" w:lineRule="auto"/>
        <w:rPr>
          <w:bCs/>
          <w:color w:val="000000"/>
          <w:sz w:val="24"/>
          <w:highlight w:val="none"/>
          <w:u w:val="single"/>
        </w:rPr>
      </w:pPr>
      <w:r>
        <w:rPr>
          <w:color w:val="000000"/>
          <w:sz w:val="24"/>
          <w:highlight w:val="none"/>
          <w:lang w:bidi="ar"/>
        </w:rPr>
        <w:t xml:space="preserve">截止时间：</w:t>
      </w:r>
      <w:r>
        <w:rPr>
          <w:rFonts w:hint="eastAsia"/>
          <w:color w:val="ff0000"/>
          <w:sz w:val="24"/>
          <w:highlight w:val="none"/>
          <w:lang w:val="en-US" w:eastAsia="zh-CN"/>
        </w:rPr>
        <w:t xml:space="preserve">2026</w:t>
      </w:r>
      <w:r>
        <w:rPr>
          <w:color w:val="ff0000"/>
          <w:sz w:val="24"/>
          <w:highlight w:val="none"/>
          <w:lang w:bidi="ar"/>
        </w:rPr>
        <w:t xml:space="preserve">年</w:t>
      </w:r>
      <w:r>
        <w:rPr>
          <w:rFonts w:hint="eastAsia"/>
          <w:color w:val="ff0000"/>
          <w:sz w:val="24"/>
          <w:highlight w:val="none"/>
          <w:lang w:val="en-US" w:eastAsia="zh-CN"/>
        </w:rPr>
        <w:t xml:space="preserve">01</w:t>
      </w:r>
      <w:r>
        <w:rPr>
          <w:color w:val="ff0000"/>
          <w:sz w:val="24"/>
          <w:highlight w:val="none"/>
          <w:lang w:bidi="ar"/>
        </w:rPr>
        <w:t xml:space="preserve">月</w:t>
      </w:r>
      <w:r>
        <w:rPr>
          <w:rFonts w:hint="eastAsia"/>
          <w:color w:val="ff0000"/>
          <w:sz w:val="24"/>
          <w:highlight w:val="none"/>
          <w:lang w:val="en-US" w:eastAsia="zh-CN" w:bidi="ar"/>
        </w:rPr>
        <w:t xml:space="preserve">23</w:t>
      </w:r>
      <w:r>
        <w:rPr>
          <w:color w:val="ff0000"/>
          <w:sz w:val="24"/>
          <w:highlight w:val="none"/>
          <w:lang w:bidi="ar"/>
        </w:rPr>
        <w:t xml:space="preserve">日</w:t>
      </w:r>
      <w:r>
        <w:rPr>
          <w:rFonts w:hint="eastAsia"/>
          <w:color w:val="ff0000"/>
          <w:sz w:val="24"/>
          <w:highlight w:val="none"/>
          <w:lang w:val="en-US" w:eastAsia="zh-CN" w:bidi="ar"/>
        </w:rPr>
        <w:t xml:space="preserve">09</w:t>
      </w:r>
      <w:r>
        <w:rPr>
          <w:color w:val="ff0000"/>
          <w:sz w:val="24"/>
          <w:highlight w:val="none"/>
          <w:lang w:bidi="ar"/>
        </w:rPr>
        <w:t xml:space="preserve">点</w:t>
      </w:r>
      <w:r>
        <w:rPr>
          <w:rFonts w:hint="eastAsia"/>
          <w:color w:val="ff0000"/>
          <w:sz w:val="24"/>
          <w:highlight w:val="none"/>
          <w:lang w:val="en-US" w:eastAsia="zh-CN" w:bidi="ar"/>
        </w:rPr>
        <w:t xml:space="preserve">30</w:t>
      </w:r>
      <w:r>
        <w:rPr>
          <w:color w:val="ff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p>
    <w:p>
      <w:pPr>
        <w:ind w:firstLine="480"/>
        <w:jc w:val="left"/>
        <w:spacing w:line="360" w:lineRule="auto"/>
        <w:tabs>
          <w:tab w:val="left" w:pos="900" w:leader="none"/>
          <w:tab w:val="left" w:pos="1980" w:leader="none"/>
        </w:tabs>
        <w:rPr>
          <w:rFonts w:hint="eastAsia" w:eastAsia="宋体" w:cs="宋体"/>
          <w:color w:val="000000"/>
          <w:sz w:val="24"/>
          <w:highlight w:val="none"/>
          <w:u w:val="none"/>
          <w:lang w:eastAsia="zh-CN"/>
        </w:rPr>
      </w:pPr>
      <w:r>
        <w:rPr>
          <w:color w:val="000000"/>
          <w:sz w:val="24"/>
          <w:highlight w:val="none"/>
          <w:lang w:bidi="ar"/>
        </w:rPr>
        <w:t xml:space="preserve">地点：</w:t>
      </w:r>
      <w:r>
        <w:rPr>
          <w:rFonts w:hint="eastAsia" w:ascii="宋体" w:hAnsi="宋体"/>
          <w:color w:val="000000"/>
          <w:sz w:val="24"/>
          <w:highlight w:val="none"/>
          <w:u w:val="single"/>
        </w:rPr>
        <w:t xml:space="preserve">本项目采用不见面交易方式，无需到现场提交，</w:t>
      </w:r>
      <w:r>
        <w:rPr>
          <w:rFonts w:hint="eastAsia" w:ascii="宋体" w:hAnsi="宋体"/>
          <w:color w:val="000000"/>
          <w:sz w:val="24"/>
          <w:highlight w:val="none"/>
          <w:u w:val="single"/>
          <w:lang w:val="en-US" w:eastAsia="en-US"/>
        </w:rPr>
        <w:t xml:space="preserve">供应商</w:t>
      </w:r>
      <w:r>
        <w:rPr>
          <w:rFonts w:hint="eastAsia" w:ascii="宋体" w:hAnsi="宋体"/>
          <w:color w:val="000000"/>
          <w:sz w:val="24"/>
          <w:highlight w:val="none"/>
          <w:u w:val="single"/>
        </w:rPr>
        <w:t xml:space="preserve">登录“苏采云”政府采购一体化平台</w:t>
      </w:r>
      <w:r>
        <w:rPr>
          <w:rFonts w:hint="eastAsia" w:ascii="宋体" w:hAnsi="宋体"/>
          <w:color w:val="000000"/>
          <w:sz w:val="24"/>
          <w:highlight w:val="none"/>
          <w:u w:val="single"/>
          <w:lang w:val="en-US" w:eastAsia="en-US"/>
        </w:rPr>
        <w:t xml:space="preserve">供应商</w:t>
      </w:r>
      <w:r>
        <w:rPr>
          <w:rFonts w:hint="eastAsia" w:ascii="宋体" w:hAnsi="宋体"/>
          <w:color w:val="000000"/>
          <w:sz w:val="24"/>
          <w:highlight w:val="none"/>
          <w:u w:val="single"/>
        </w:rPr>
        <w:t xml:space="preserve">端，通过系统在线提交</w:t>
      </w:r>
      <w:r>
        <w:rPr>
          <w:rFonts w:hint="eastAsia" w:ascii="宋体" w:hAnsi="宋体"/>
          <w:color w:val="000000"/>
          <w:sz w:val="24"/>
          <w:highlight w:val="none"/>
          <w:u w:val="single"/>
          <w:lang w:eastAsia="zh-CN"/>
        </w:rPr>
        <w:t xml:space="preserve">电子</w:t>
      </w:r>
      <w:r>
        <w:rPr>
          <w:rFonts w:hint="eastAsia" w:ascii="宋体" w:hAnsi="宋体"/>
          <w:color w:val="000000"/>
          <w:sz w:val="24"/>
          <w:highlight w:val="none"/>
          <w:u w:val="single"/>
          <w:lang w:val="en-US" w:eastAsia="en-US"/>
        </w:rPr>
        <w:t xml:space="preserve">响应</w:t>
      </w:r>
      <w:r>
        <w:rPr>
          <w:rFonts w:hint="eastAsia" w:ascii="宋体" w:hAnsi="宋体"/>
          <w:color w:val="000000"/>
          <w:sz w:val="24"/>
          <w:highlight w:val="none"/>
          <w:u w:val="single"/>
          <w:lang w:eastAsia="zh-CN"/>
        </w:rPr>
        <w:t xml:space="preserve">文件。</w:t>
      </w:r>
      <w:r/>
    </w:p>
    <w:p>
      <w:pPr>
        <w:pStyle w:val="953"/>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五、开启</w:t>
      </w:r>
      <w:r/>
    </w:p>
    <w:p>
      <w:pPr>
        <w:ind w:firstLine="480"/>
        <w:spacing w:line="360" w:lineRule="auto"/>
        <w:rPr>
          <w:bCs/>
          <w:color w:val="000000"/>
          <w:sz w:val="24"/>
          <w:highlight w:val="none"/>
          <w:u w:val="single"/>
        </w:rPr>
      </w:pPr>
      <w:r>
        <w:rPr>
          <w:color w:val="000000"/>
          <w:sz w:val="24"/>
          <w:highlight w:val="none"/>
          <w:lang w:bidi="ar"/>
        </w:rPr>
        <w:t xml:space="preserve">时间：</w:t>
      </w:r>
      <w:r>
        <w:rPr>
          <w:rFonts w:hint="eastAsia"/>
          <w:color w:val="ff0000"/>
          <w:sz w:val="24"/>
          <w:highlight w:val="none"/>
          <w:lang w:val="en-US" w:eastAsia="zh-CN"/>
        </w:rPr>
        <w:t xml:space="preserve">2026</w:t>
      </w:r>
      <w:r>
        <w:rPr>
          <w:color w:val="ff0000"/>
          <w:sz w:val="24"/>
          <w:highlight w:val="none"/>
          <w:lang w:bidi="ar"/>
        </w:rPr>
        <w:t xml:space="preserve">年</w:t>
      </w:r>
      <w:r>
        <w:rPr>
          <w:rFonts w:hint="eastAsia"/>
          <w:color w:val="ff0000"/>
          <w:sz w:val="24"/>
          <w:highlight w:val="none"/>
          <w:lang w:val="en-US" w:eastAsia="zh-CN"/>
        </w:rPr>
        <w:t xml:space="preserve">01</w:t>
      </w:r>
      <w:r>
        <w:rPr>
          <w:color w:val="ff0000"/>
          <w:sz w:val="24"/>
          <w:highlight w:val="none"/>
          <w:lang w:bidi="ar"/>
        </w:rPr>
        <w:t xml:space="preserve">月23</w:t>
      </w:r>
      <w:r>
        <w:rPr>
          <w:color w:val="ff0000"/>
          <w:sz w:val="24"/>
          <w:highlight w:val="none"/>
          <w:lang w:bidi="ar"/>
        </w:rPr>
        <w:t xml:space="preserve">日</w:t>
      </w:r>
      <w:r>
        <w:rPr>
          <w:rFonts w:hint="eastAsia"/>
          <w:color w:val="ff0000"/>
          <w:sz w:val="24"/>
          <w:highlight w:val="none"/>
          <w:lang w:val="en-US" w:eastAsia="zh-CN" w:bidi="ar"/>
        </w:rPr>
        <w:t xml:space="preserve">09</w:t>
      </w:r>
      <w:r>
        <w:rPr>
          <w:color w:val="ff0000"/>
          <w:sz w:val="24"/>
          <w:highlight w:val="none"/>
          <w:lang w:bidi="ar"/>
        </w:rPr>
        <w:t xml:space="preserve">点3</w:t>
      </w:r>
      <w:r>
        <w:rPr>
          <w:rFonts w:hint="eastAsia"/>
          <w:color w:val="ff0000"/>
          <w:sz w:val="24"/>
          <w:highlight w:val="none"/>
          <w:lang w:val="en-US" w:eastAsia="zh-CN" w:bidi="ar"/>
        </w:rPr>
        <w:t xml:space="preserve">0</w:t>
      </w:r>
      <w:r>
        <w:rPr>
          <w:color w:val="ff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p>
    <w:p>
      <w:pPr>
        <w:ind w:firstLine="480"/>
        <w:spacing w:line="360" w:lineRule="auto"/>
        <w:rPr>
          <w:bCs/>
          <w:color w:val="000000"/>
          <w:sz w:val="24"/>
          <w:highlight w:val="none"/>
          <w:u w:val="single"/>
        </w:rPr>
      </w:pPr>
      <w:r>
        <w:rPr>
          <w:color w:val="000000"/>
          <w:sz w:val="24"/>
          <w:highlight w:val="none"/>
          <w:lang w:bidi="ar"/>
        </w:rPr>
        <w:t xml:space="preserve">地点：</w:t>
      </w:r>
      <w:r>
        <w:rPr>
          <w:rFonts w:hint="eastAsia" w:ascii="宋体" w:hAnsi="宋体"/>
          <w:color w:val="000000"/>
          <w:sz w:val="24"/>
          <w:highlight w:val="none"/>
          <w:u w:val="single"/>
        </w:rPr>
        <w:t xml:space="preserve">本项目采用不见面交易方式，无需到现场提交，供应商登录“苏采云”政府采购一体化平台供应商端，通过系统在线提交电子响应文件</w:t>
      </w:r>
      <w:r>
        <w:rPr>
          <w:color w:val="000000"/>
          <w:sz w:val="24"/>
          <w:highlight w:val="none"/>
          <w:lang w:val="zh-TW" w:bidi="ar"/>
        </w:rPr>
        <w:t xml:space="preserve">。</w:t>
      </w:r>
      <w:r/>
    </w:p>
    <w:p>
      <w:pPr>
        <w:pStyle w:val="953"/>
        <w:jc w:val="left"/>
        <w:spacing w:before="0" w:line="360" w:lineRule="auto"/>
        <w:rPr>
          <w:rFonts w:ascii="Times New Roman" w:hAnsi="Times New Roman" w:eastAsia="宋体"/>
          <w:color w:val="000000"/>
          <w:sz w:val="24"/>
          <w:szCs w:val="24"/>
          <w:highlight w:val="none"/>
        </w:rPr>
      </w:pPr>
      <w:r/>
      <w:bookmarkStart w:id="19" w:name="_Toc28359007"/>
      <w:r/>
      <w:bookmarkStart w:id="20" w:name="_Toc35393625"/>
      <w:r/>
      <w:bookmarkStart w:id="21" w:name="_Toc28359084"/>
      <w:r/>
      <w:bookmarkStart w:id="22" w:name="_Toc35393794"/>
      <w:r>
        <w:rPr>
          <w:rFonts w:ascii="Times New Roman" w:hAnsi="Times New Roman" w:eastAsia="宋体"/>
          <w:color w:val="000000"/>
          <w:sz w:val="24"/>
          <w:szCs w:val="24"/>
          <w:highlight w:val="none"/>
        </w:rPr>
        <w:t xml:space="preserve">六、公告期限</w:t>
      </w:r>
      <w:bookmarkEnd w:id="19"/>
      <w:r/>
      <w:bookmarkEnd w:id="20"/>
      <w:r/>
      <w:bookmarkEnd w:id="21"/>
      <w:r/>
      <w:bookmarkEnd w:id="22"/>
      <w:r/>
      <w:r/>
    </w:p>
    <w:p>
      <w:pPr>
        <w:ind w:firstLine="480"/>
        <w:spacing w:line="360" w:lineRule="auto"/>
        <w:rPr>
          <w:color w:val="000000"/>
          <w:highlight w:val="none"/>
        </w:rPr>
      </w:pPr>
      <w:r>
        <w:rPr>
          <w:color w:val="000000"/>
          <w:sz w:val="24"/>
          <w:highlight w:val="none"/>
        </w:rPr>
        <w:t xml:space="preserve">自本公告发布之日起</w:t>
      </w:r>
      <w:r>
        <w:rPr>
          <w:rFonts w:hint="eastAsia"/>
          <w:color w:val="000000"/>
          <w:sz w:val="24"/>
          <w:highlight w:val="none"/>
          <w:lang w:val="en-US" w:eastAsia="zh-CN"/>
        </w:rPr>
        <w:t xml:space="preserve">5</w:t>
      </w:r>
      <w:r>
        <w:rPr>
          <w:color w:val="000000"/>
          <w:sz w:val="24"/>
          <w:highlight w:val="none"/>
        </w:rPr>
        <w:t xml:space="preserve">个工作日。</w:t>
      </w:r>
      <w:r/>
    </w:p>
    <w:p>
      <w:pPr>
        <w:pStyle w:val="953"/>
        <w:jc w:val="left"/>
        <w:spacing w:before="0" w:line="360" w:lineRule="auto"/>
        <w:rPr>
          <w:rFonts w:ascii="Times New Roman" w:hAnsi="Times New Roman" w:eastAsia="宋体"/>
          <w:color w:val="000000"/>
          <w:sz w:val="24"/>
          <w:szCs w:val="24"/>
          <w:highlight w:val="none"/>
        </w:rPr>
      </w:pPr>
      <w:r/>
      <w:bookmarkStart w:id="23" w:name="_Toc35393626"/>
      <w:r/>
      <w:bookmarkStart w:id="24" w:name="_Toc35393795"/>
      <w:r>
        <w:rPr>
          <w:rFonts w:ascii="Times New Roman" w:hAnsi="Times New Roman" w:eastAsia="宋体"/>
          <w:color w:val="000000"/>
          <w:sz w:val="24"/>
          <w:szCs w:val="24"/>
          <w:highlight w:val="none"/>
        </w:rPr>
        <w:t xml:space="preserve">七、其他补充事宜</w:t>
      </w:r>
      <w:bookmarkEnd w:id="23"/>
      <w:r/>
      <w:bookmarkEnd w:id="24"/>
      <w:r/>
      <w:r/>
    </w:p>
    <w:p>
      <w:pPr>
        <w:ind w:firstLine="480"/>
        <w:spacing w:line="360" w:lineRule="auto"/>
        <w:rPr>
          <w:color w:val="000000"/>
          <w:sz w:val="24"/>
          <w:highlight w:val="none"/>
        </w:rPr>
      </w:pPr>
      <w:r>
        <w:rPr>
          <w:color w:val="000000"/>
          <w:sz w:val="24"/>
          <w:highlight w:val="none"/>
        </w:rPr>
        <w:t xml:space="preserve">1.本项目需要落实的政府采购政策：</w:t>
      </w:r>
      <w:r>
        <w:rPr>
          <w:rFonts w:hint="default"/>
          <w:b/>
          <w:bCs/>
          <w:color w:val="auto"/>
          <w:sz w:val="24"/>
          <w:highlight w:val="none"/>
          <w:u w:val="none"/>
        </w:rPr>
        <w:t xml:space="preserve">《江苏省财政厅关于进一步加大政府采购支持中小企业力度的通知》苏财购〔2022〕45号。</w:t>
      </w:r>
      <w:r/>
    </w:p>
    <w:p>
      <w:pPr>
        <w:ind w:firstLine="480"/>
        <w:spacing w:line="360" w:lineRule="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2.本项目的采购年限为</w:t>
      </w:r>
      <w:r>
        <w:rPr>
          <w:rFonts w:hint="eastAsia" w:ascii="Times New Roman" w:hAnsi="Times New Roman" w:eastAsia="宋体" w:cs="Times New Roman"/>
          <w:color w:val="auto"/>
          <w:sz w:val="24"/>
          <w:highlight w:val="none"/>
          <w:u w:val="single"/>
          <w:lang w:val="en-US" w:eastAsia="zh-CN"/>
        </w:rPr>
        <w:t xml:space="preserve"> 3 </w:t>
      </w:r>
      <w:r>
        <w:rPr>
          <w:rFonts w:hint="default" w:ascii="Times New Roman" w:hAnsi="Times New Roman" w:eastAsia="宋体" w:cs="Times New Roman"/>
          <w:color w:val="auto"/>
          <w:sz w:val="24"/>
          <w:highlight w:val="none"/>
          <w:lang w:val="en-US" w:eastAsia="zh-CN"/>
        </w:rPr>
        <w:t xml:space="preserve">年、预算金额为</w:t>
      </w:r>
      <w:r>
        <w:rPr>
          <w:rFonts w:hint="eastAsia" w:ascii="Times New Roman" w:hAnsi="Times New Roman" w:eastAsia="宋体" w:cs="Times New Roman"/>
          <w:color w:val="auto"/>
          <w:sz w:val="24"/>
          <w:highlight w:val="none"/>
          <w:u w:val="single"/>
          <w:lang w:val="en-US" w:eastAsia="zh-CN"/>
        </w:rPr>
        <w:t xml:space="preserve"> 313 </w:t>
      </w:r>
      <w:r>
        <w:rPr>
          <w:rFonts w:hint="default" w:ascii="Times New Roman" w:hAnsi="Times New Roman" w:eastAsia="宋体" w:cs="Times New Roman"/>
          <w:color w:val="auto"/>
          <w:sz w:val="24"/>
          <w:highlight w:val="none"/>
          <w:lang w:val="en-US" w:eastAsia="zh-CN"/>
        </w:rPr>
        <w:t xml:space="preserve">万元、当年安排数为</w:t>
      </w:r>
      <w:r>
        <w:rPr>
          <w:rFonts w:hint="eastAsia" w:cs="Times New Roman"/>
          <w:color w:val="auto"/>
          <w:sz w:val="24"/>
          <w:highlight w:val="none"/>
          <w:u w:val="single"/>
          <w:lang w:val="en-US" w:eastAsia="zh-CN"/>
        </w:rPr>
        <w:t xml:space="preserve">104.33</w:t>
      </w:r>
      <w:r>
        <w:rPr>
          <w:rFonts w:hint="eastAsia" w:ascii="Times New Roman" w:hAnsi="Times New Roman" w:eastAsia="宋体" w:cs="Times New Roman"/>
          <w:color w:val="auto"/>
          <w:sz w:val="24"/>
          <w:highlight w:val="none"/>
          <w:u w:val="single"/>
          <w:lang w:val="en-US" w:eastAsia="zh-CN"/>
        </w:rPr>
        <w:t xml:space="preserve"> </w:t>
      </w:r>
      <w:r>
        <w:rPr>
          <w:rFonts w:hint="default" w:ascii="Times New Roman" w:hAnsi="Times New Roman" w:eastAsia="宋体" w:cs="Times New Roman"/>
          <w:color w:val="auto"/>
          <w:sz w:val="24"/>
          <w:highlight w:val="none"/>
          <w:lang w:val="en-US" w:eastAsia="zh-CN"/>
        </w:rPr>
        <w:t xml:space="preserve">万元。</w:t>
      </w:r>
      <w:r/>
    </w:p>
    <w:p>
      <w:pPr>
        <w:ind w:firstLine="480"/>
        <w:jc w:val="left"/>
        <w:spacing w:line="360" w:lineRule="auto"/>
        <w:widowControl/>
        <w:rPr>
          <w:bCs/>
          <w:color w:val="000000"/>
          <w:sz w:val="24"/>
          <w:highlight w:val="none"/>
          <w:lang w:bidi="ar"/>
        </w:rPr>
      </w:pPr>
      <w:r>
        <w:rPr>
          <w:rFonts w:hint="eastAsia"/>
          <w:color w:val="000000"/>
          <w:sz w:val="24"/>
          <w:highlight w:val="none"/>
          <w:lang w:val="en-US" w:eastAsia="zh-CN"/>
        </w:rPr>
        <w:t xml:space="preserve">3</w:t>
      </w:r>
      <w:r>
        <w:rPr>
          <w:color w:val="000000"/>
          <w:sz w:val="24"/>
          <w:highlight w:val="none"/>
          <w:lang w:bidi="ar"/>
        </w:rPr>
        <w:t xml:space="preserve">.本项目采用</w:t>
      </w:r>
      <w:r>
        <w:rPr>
          <w:rFonts w:hint="eastAsia"/>
          <w:color w:val="000000"/>
          <w:sz w:val="24"/>
          <w:highlight w:val="none"/>
          <w:lang w:val="en-US" w:eastAsia="en-US" w:bidi="ar"/>
        </w:rPr>
        <w:t xml:space="preserve">不见面交易方式</w:t>
      </w:r>
      <w:r>
        <w:rPr>
          <w:color w:val="000000"/>
          <w:sz w:val="24"/>
          <w:highlight w:val="none"/>
          <w:lang w:bidi="ar"/>
        </w:rPr>
        <w:t xml:space="preserve">，请供应商认真学习“苏采云”政府采购一体化平台发布的相关操作手册，办理CA认证证书、进行“苏采云”政府采购一体化平台注册绑定，并认真核实</w:t>
      </w:r>
      <w:r>
        <w:rPr>
          <w:bCs/>
          <w:color w:val="000000"/>
          <w:sz w:val="24"/>
          <w:highlight w:val="none"/>
          <w:lang w:bidi="ar"/>
        </w:rPr>
        <w:t xml:space="preserve">数字认证证书情况确认是否符合本项目电子化采购流程要求。</w:t>
      </w:r>
      <w:r/>
    </w:p>
    <w:p>
      <w:pPr>
        <w:ind w:firstLine="480"/>
        <w:spacing w:line="360" w:lineRule="auto"/>
        <w:rPr>
          <w:color w:val="000000"/>
          <w:sz w:val="24"/>
          <w:highlight w:val="none"/>
        </w:rPr>
      </w:pPr>
      <w:r>
        <w:rPr>
          <w:color w:val="000000"/>
          <w:sz w:val="24"/>
          <w:highlight w:val="none"/>
          <w:lang w:bidi="ar"/>
        </w:rPr>
        <w:t xml:space="preserve">技术支持服务热线    </w:t>
      </w:r>
      <w:r>
        <w:rPr>
          <w:rFonts w:hint="eastAsia"/>
          <w:color w:val="000000"/>
          <w:sz w:val="24"/>
          <w:highlight w:val="none"/>
          <w:lang w:bidi="ar"/>
        </w:rPr>
        <w:t xml:space="preserve">0519-85588210</w:t>
      </w:r>
      <w:r/>
    </w:p>
    <w:p>
      <w:pPr>
        <w:ind w:firstLine="480"/>
        <w:spacing w:line="360" w:lineRule="auto"/>
        <w:rPr>
          <w:color w:val="000000"/>
          <w:sz w:val="24"/>
          <w:highlight w:val="none"/>
          <w:lang w:bidi="ar"/>
        </w:rPr>
      </w:pPr>
      <w:r>
        <w:rPr>
          <w:color w:val="000000"/>
          <w:sz w:val="24"/>
          <w:highlight w:val="none"/>
          <w:lang w:bidi="ar"/>
        </w:rPr>
        <w:t xml:space="preserve">CA认证证书</w:t>
      </w:r>
      <w:r>
        <w:rPr>
          <w:rFonts w:hint="eastAsia"/>
          <w:color w:val="000000"/>
          <w:sz w:val="24"/>
          <w:highlight w:val="none"/>
          <w:lang w:bidi="ar"/>
        </w:rPr>
        <w:t xml:space="preserve">办理（可邮寄）联系电话   </w:t>
      </w:r>
      <w:r>
        <w:rPr>
          <w:color w:val="000000"/>
          <w:sz w:val="24"/>
          <w:highlight w:val="none"/>
          <w:lang w:bidi="ar"/>
        </w:rPr>
        <w:t xml:space="preserve">0519</w:t>
      </w:r>
      <w:r>
        <w:rPr>
          <w:rFonts w:hint="eastAsia"/>
          <w:color w:val="000000"/>
          <w:sz w:val="24"/>
          <w:highlight w:val="none"/>
          <w:lang w:val="en-US" w:eastAsia="zh-CN" w:bidi="ar"/>
        </w:rPr>
        <w:t xml:space="preserve">-</w:t>
      </w:r>
      <w:r>
        <w:rPr>
          <w:color w:val="000000"/>
          <w:sz w:val="24"/>
          <w:highlight w:val="none"/>
          <w:lang w:bidi="ar"/>
        </w:rPr>
        <w:t xml:space="preserve">85588120</w:t>
      </w:r>
      <w:r/>
    </w:p>
    <w:p>
      <w:pPr>
        <w:ind w:firstLine="480"/>
        <w:jc w:val="left"/>
        <w:spacing w:line="360" w:lineRule="auto"/>
        <w:widowControl/>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.1办理CA认证证书</w:t>
      </w:r>
      <w:r/>
    </w:p>
    <w:p>
      <w:pPr>
        <w:ind w:firstLine="480"/>
        <w:jc w:val="left"/>
        <w:spacing w:line="360" w:lineRule="auto"/>
        <w:widowControl/>
        <w:rPr>
          <w:color w:val="000000"/>
          <w:sz w:val="24"/>
          <w:highlight w:val="none"/>
        </w:rPr>
      </w:pPr>
      <w:r>
        <w:rPr>
          <w:color w:val="000000"/>
          <w:sz w:val="24"/>
          <w:highlight w:val="none"/>
          <w:lang w:bidi="ar"/>
        </w:rPr>
        <w:t xml:space="preserve">供应商登录常州市政府采购</w:t>
      </w:r>
      <w:r>
        <w:rPr>
          <w:rFonts w:hint="eastAsia"/>
          <w:color w:val="000000"/>
          <w:sz w:val="24"/>
          <w:highlight w:val="none"/>
          <w:lang w:bidi="ar"/>
        </w:rPr>
        <w:t xml:space="preserve">网“下载中心”下载并查阅</w:t>
      </w:r>
      <w:r>
        <w:rPr>
          <w:color w:val="000000"/>
          <w:sz w:val="24"/>
          <w:highlight w:val="none"/>
          <w:lang w:bidi="ar"/>
        </w:rPr>
        <w:t xml:space="preserve"> “</w:t>
      </w:r>
      <w:r>
        <w:rPr>
          <w:rFonts w:hint="eastAsia" w:ascii="宋体" w:hAnsi="宋体"/>
          <w:color w:val="000000"/>
          <w:sz w:val="24"/>
          <w:highlight w:val="none"/>
        </w:rPr>
        <w:t xml:space="preserve">“苏采云”政府采购一体化平台</w:t>
      </w:r>
      <w:r>
        <w:rPr>
          <w:color w:val="000000"/>
          <w:sz w:val="24"/>
          <w:highlight w:val="none"/>
          <w:lang w:bidi="ar"/>
        </w:rPr>
        <w:t xml:space="preserve">（供应商）国信CA证书办理指南”，按照程序要求办理。</w:t>
      </w:r>
      <w:r/>
    </w:p>
    <w:p>
      <w:pPr>
        <w:ind w:firstLine="480"/>
        <w:spacing w:line="360" w:lineRule="auto"/>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.2注册</w:t>
      </w:r>
      <w:r/>
    </w:p>
    <w:p>
      <w:pPr>
        <w:ind w:firstLine="480"/>
        <w:spacing w:line="360" w:lineRule="auto"/>
        <w:rPr>
          <w:color w:val="000000"/>
          <w:sz w:val="24"/>
          <w:highlight w:val="none"/>
        </w:rPr>
      </w:pPr>
      <w:r>
        <w:rPr>
          <w:color w:val="000000"/>
          <w:sz w:val="24"/>
          <w:highlight w:val="none"/>
          <w:lang w:bidi="ar"/>
        </w:rPr>
        <w:t xml:space="preserve">供应商登录常州市政府采购</w:t>
      </w:r>
      <w:r>
        <w:rPr>
          <w:rFonts w:hint="eastAsia"/>
          <w:color w:val="000000"/>
          <w:sz w:val="24"/>
          <w:highlight w:val="none"/>
          <w:lang w:bidi="ar"/>
        </w:rPr>
        <w:t xml:space="preserve">网“下载中心”-“</w:t>
      </w:r>
      <w:r>
        <w:rPr>
          <w:rFonts w:hint="eastAsia" w:ascii="宋体" w:hAnsi="宋体"/>
          <w:color w:val="000000"/>
          <w:sz w:val="24"/>
          <w:highlight w:val="none"/>
        </w:rPr>
        <w:t xml:space="preserve">“苏采云”政府采购一体化平台</w:t>
      </w:r>
      <w:r>
        <w:rPr>
          <w:color w:val="000000"/>
          <w:sz w:val="24"/>
          <w:highlight w:val="none"/>
          <w:lang w:bidi="ar"/>
        </w:rPr>
        <w:t xml:space="preserve">供应商操作指南</w:t>
      </w:r>
      <w:r>
        <w:rPr>
          <w:rFonts w:hint="eastAsia"/>
          <w:color w:val="000000"/>
          <w:sz w:val="24"/>
          <w:highlight w:val="none"/>
          <w:lang w:bidi="ar"/>
        </w:rPr>
        <w:t xml:space="preserve">”下载相关操作手册、操作视频等，查阅后</w:t>
      </w:r>
      <w:r>
        <w:rPr>
          <w:color w:val="000000"/>
          <w:sz w:val="24"/>
          <w:highlight w:val="none"/>
          <w:lang w:bidi="ar"/>
        </w:rPr>
        <w:t xml:space="preserve">进行自助注册。</w:t>
      </w:r>
      <w:r/>
    </w:p>
    <w:p>
      <w:pPr>
        <w:ind w:firstLine="480"/>
        <w:jc w:val="left"/>
        <w:spacing w:line="360" w:lineRule="auto"/>
        <w:widowControl/>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.3</w:t>
      </w:r>
      <w:r>
        <w:rPr>
          <w:rFonts w:hint="eastAsia"/>
          <w:color w:val="000000"/>
          <w:sz w:val="24"/>
          <w:highlight w:val="none"/>
          <w:lang w:bidi="ar"/>
        </w:rPr>
        <w:t xml:space="preserve">控件</w:t>
      </w:r>
      <w:r>
        <w:rPr>
          <w:color w:val="000000"/>
          <w:sz w:val="24"/>
          <w:highlight w:val="none"/>
          <w:lang w:bidi="ar"/>
        </w:rPr>
        <w:t xml:space="preserve">、客户端下载</w:t>
      </w:r>
      <w:r/>
    </w:p>
    <w:p>
      <w:pPr>
        <w:ind w:firstLine="480"/>
        <w:jc w:val="left"/>
        <w:spacing w:line="360" w:lineRule="auto"/>
        <w:widowControl/>
        <w:rPr>
          <w:color w:val="000000"/>
          <w:sz w:val="24"/>
          <w:highlight w:val="none"/>
        </w:rPr>
      </w:pPr>
      <w:r>
        <w:rPr>
          <w:color w:val="000000"/>
          <w:sz w:val="24"/>
          <w:highlight w:val="none"/>
          <w:lang w:bidi="ar"/>
        </w:rPr>
        <w:t xml:space="preserve">供应商登录常州市政府采购</w:t>
      </w:r>
      <w:r>
        <w:rPr>
          <w:rFonts w:hint="eastAsia"/>
          <w:color w:val="000000"/>
          <w:sz w:val="24"/>
          <w:highlight w:val="none"/>
          <w:lang w:bidi="ar"/>
        </w:rPr>
        <w:t xml:space="preserve">网“下载中心”-“</w:t>
      </w:r>
      <w:r>
        <w:rPr>
          <w:rFonts w:hint="eastAsia" w:ascii="宋体" w:hAnsi="宋体"/>
          <w:color w:val="000000"/>
          <w:sz w:val="24"/>
          <w:highlight w:val="none"/>
        </w:rPr>
        <w:t xml:space="preserve">“苏采云”政府采购一体化平台</w:t>
      </w:r>
      <w:r>
        <w:rPr>
          <w:color w:val="000000"/>
          <w:sz w:val="24"/>
          <w:highlight w:val="none"/>
          <w:lang w:bidi="ar"/>
        </w:rPr>
        <w:t xml:space="preserve">供应商客户端</w:t>
      </w:r>
      <w:r>
        <w:rPr>
          <w:rFonts w:hint="eastAsia"/>
          <w:color w:val="000000"/>
          <w:sz w:val="24"/>
          <w:highlight w:val="none"/>
          <w:lang w:bidi="ar"/>
        </w:rPr>
        <w:t xml:space="preserve">”下载</w:t>
      </w:r>
      <w:r>
        <w:rPr>
          <w:color w:val="000000"/>
          <w:sz w:val="24"/>
          <w:highlight w:val="none"/>
          <w:lang w:bidi="ar"/>
        </w:rPr>
        <w:t xml:space="preserve">相关</w:t>
      </w:r>
      <w:r>
        <w:rPr>
          <w:rFonts w:hint="eastAsia"/>
          <w:color w:val="000000"/>
          <w:sz w:val="24"/>
          <w:highlight w:val="none"/>
          <w:lang w:bidi="ar"/>
        </w:rPr>
        <w:t xml:space="preserve">控件和客户端</w:t>
      </w:r>
      <w:r>
        <w:rPr>
          <w:color w:val="000000"/>
          <w:sz w:val="24"/>
          <w:highlight w:val="none"/>
          <w:lang w:bidi="ar"/>
        </w:rPr>
        <w:t xml:space="preserve">。</w:t>
      </w:r>
      <w:r/>
    </w:p>
    <w:p>
      <w:pPr>
        <w:ind w:firstLine="480"/>
        <w:spacing w:line="360" w:lineRule="auto"/>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.4 获取电子磋商文件</w:t>
      </w:r>
      <w:r/>
    </w:p>
    <w:p>
      <w:pPr>
        <w:ind w:firstLine="480"/>
        <w:spacing w:line="360" w:lineRule="auto"/>
        <w:rPr>
          <w:color w:val="000000"/>
          <w:sz w:val="24"/>
          <w:highlight w:val="none"/>
          <w:lang w:bidi="ar"/>
        </w:rPr>
      </w:pPr>
      <w:r>
        <w:rPr>
          <w:color w:val="000000"/>
          <w:sz w:val="24"/>
          <w:highlight w:val="none"/>
          <w:lang w:bidi="ar"/>
        </w:rPr>
        <w:t xml:space="preserve">供应商持CA数字认证证书登录“苏采云”政府采购一体化平台获取电子磋商文件。未在规定期限内通过“苏采云”政府采购一体化平台获取磋商文件的</w:t>
      </w:r>
      <w:r>
        <w:rPr>
          <w:b/>
          <w:color w:val="000000"/>
          <w:sz w:val="24"/>
          <w:highlight w:val="none"/>
          <w:lang w:bidi="ar"/>
        </w:rPr>
        <w:t xml:space="preserve">响应无效</w:t>
      </w:r>
      <w:r>
        <w:rPr>
          <w:color w:val="000000"/>
          <w:sz w:val="24"/>
          <w:highlight w:val="none"/>
          <w:lang w:bidi="ar"/>
        </w:rPr>
        <w:t xml:space="preserve">。</w:t>
      </w:r>
      <w:r/>
    </w:p>
    <w:p>
      <w:pPr>
        <w:ind w:firstLine="480"/>
        <w:spacing w:line="360" w:lineRule="auto"/>
        <w:rPr>
          <w:color w:val="000000"/>
          <w:sz w:val="24"/>
          <w:highlight w:val="none"/>
          <w:lang w:bidi="ar"/>
        </w:rPr>
      </w:pPr>
      <w:r>
        <w:rPr>
          <w:rFonts w:hint="eastAsia"/>
          <w:color w:val="000000"/>
          <w:sz w:val="24"/>
          <w:highlight w:val="none"/>
          <w:lang w:val="en-US" w:eastAsia="zh-CN" w:bidi="ar"/>
        </w:rPr>
        <w:t xml:space="preserve">3</w:t>
      </w:r>
      <w:r>
        <w:rPr>
          <w:color w:val="000000"/>
          <w:sz w:val="24"/>
          <w:highlight w:val="none"/>
          <w:lang w:bidi="ar"/>
        </w:rPr>
        <w:t xml:space="preserve">.5编制电子响应文件</w:t>
      </w:r>
      <w:r/>
    </w:p>
    <w:p>
      <w:pPr>
        <w:ind w:firstLine="480"/>
        <w:spacing w:line="360" w:lineRule="auto"/>
        <w:rPr>
          <w:color w:val="000000"/>
          <w:sz w:val="24"/>
          <w:highlight w:val="none"/>
          <w:lang w:bidi="ar"/>
        </w:rPr>
      </w:pPr>
      <w:r>
        <w:rPr>
          <w:color w:val="000000"/>
          <w:sz w:val="24"/>
          <w:highlight w:val="none"/>
          <w:lang w:bidi="ar"/>
        </w:rPr>
        <w:t xml:space="preserve">供应商应使用电子响应</w:t>
      </w:r>
      <w:r>
        <w:rPr>
          <w:rFonts w:hint="eastAsia"/>
          <w:color w:val="000000"/>
          <w:sz w:val="24"/>
          <w:highlight w:val="none"/>
          <w:lang w:bidi="ar"/>
        </w:rPr>
        <w:t xml:space="preserve">文件制作</w:t>
      </w:r>
      <w:r>
        <w:rPr>
          <w:color w:val="000000"/>
          <w:sz w:val="24"/>
          <w:highlight w:val="none"/>
          <w:lang w:bidi="ar"/>
        </w:rPr>
        <w:t xml:space="preserve">客户端编制电子响应文件并进行线上响应，供应商电子响应文件需要加密并加盖电子签章</w:t>
      </w:r>
      <w:r>
        <w:rPr>
          <w:bCs/>
          <w:color w:val="000000"/>
          <w:sz w:val="24"/>
          <w:highlight w:val="none"/>
          <w:lang w:bidi="ar"/>
        </w:rPr>
        <w:t xml:space="preserve">，如无法按照要求在电子响应文件中加盖电子签章和加密，请及时通过技术支持服务热线联系技术人员</w:t>
      </w:r>
      <w:r>
        <w:rPr>
          <w:color w:val="000000"/>
          <w:sz w:val="24"/>
          <w:highlight w:val="none"/>
          <w:lang w:bidi="ar"/>
        </w:rPr>
        <w:t xml:space="preserve">。</w:t>
      </w:r>
      <w:r/>
    </w:p>
    <w:p>
      <w:pPr>
        <w:ind w:firstLine="480"/>
        <w:jc w:val="left"/>
        <w:spacing w:line="360" w:lineRule="auto"/>
        <w:widowControl/>
        <w:rPr>
          <w:color w:val="000000"/>
          <w:sz w:val="24"/>
          <w:highlight w:val="none"/>
          <w:lang w:val="zh-TW" w:bidi="ar"/>
        </w:rPr>
      </w:pPr>
      <w:r>
        <w:rPr>
          <w:rFonts w:hint="eastAsia"/>
          <w:color w:val="000000"/>
          <w:sz w:val="24"/>
          <w:highlight w:val="none"/>
          <w:lang w:val="en-US" w:eastAsia="zh-CN" w:bidi="ar"/>
        </w:rPr>
        <w:t xml:space="preserve">3</w:t>
      </w:r>
      <w:r>
        <w:rPr>
          <w:color w:val="000000"/>
          <w:sz w:val="24"/>
          <w:highlight w:val="none"/>
          <w:lang w:val="zh-TW" w:eastAsia="zh-TW" w:bidi="ar"/>
        </w:rPr>
        <w:t xml:space="preserve">.6</w:t>
      </w:r>
      <w:r>
        <w:rPr>
          <w:color w:val="000000"/>
          <w:sz w:val="24"/>
          <w:highlight w:val="none"/>
          <w:lang w:val="zh-TW" w:bidi="ar"/>
        </w:rPr>
        <w:t xml:space="preserve">提交电子响应文件</w:t>
      </w:r>
      <w:r/>
    </w:p>
    <w:p>
      <w:pPr>
        <w:ind w:firstLine="480"/>
        <w:jc w:val="left"/>
        <w:spacing w:line="360" w:lineRule="auto"/>
        <w:widowControl/>
        <w:rPr>
          <w:color w:val="000000"/>
          <w:sz w:val="24"/>
          <w:highlight w:val="none"/>
          <w:lang w:bidi="ar"/>
        </w:rPr>
      </w:pPr>
      <w:r>
        <w:rPr>
          <w:color w:val="000000"/>
          <w:sz w:val="24"/>
          <w:highlight w:val="none"/>
          <w:lang w:bidi="ar"/>
        </w:rPr>
        <w:t xml:space="preserve">供应商应于响应截止时间前在“苏采云”政府采购一体化平台提交电子响应文件，上传电子响应文件过程中请保持与互联网的连接畅通。</w:t>
      </w:r>
      <w:r/>
    </w:p>
    <w:p>
      <w:pPr>
        <w:ind w:firstLine="480"/>
        <w:jc w:val="left"/>
        <w:spacing w:line="360" w:lineRule="auto"/>
        <w:widowControl/>
        <w:rPr>
          <w:color w:val="000000"/>
          <w:sz w:val="24"/>
          <w:highlight w:val="none"/>
          <w:lang w:eastAsia="zh-TW" w:bidi="ar"/>
        </w:rPr>
      </w:pPr>
      <w:r>
        <w:rPr>
          <w:rFonts w:hint="eastAsia"/>
          <w:color w:val="000000"/>
          <w:sz w:val="24"/>
          <w:highlight w:val="none"/>
          <w:lang w:val="en-US" w:eastAsia="zh-CN" w:bidi="ar"/>
        </w:rPr>
        <w:t xml:space="preserve">3</w:t>
      </w:r>
      <w:r>
        <w:rPr>
          <w:color w:val="000000"/>
          <w:sz w:val="24"/>
          <w:highlight w:val="none"/>
          <w:lang w:val="zh-TW" w:bidi="ar"/>
        </w:rPr>
        <w:t xml:space="preserve">.</w:t>
      </w:r>
      <w:r>
        <w:rPr>
          <w:color w:val="000000"/>
          <w:sz w:val="24"/>
          <w:highlight w:val="none"/>
          <w:lang w:val="zh-TW" w:eastAsia="zh-TW" w:bidi="ar"/>
        </w:rPr>
        <w:t xml:space="preserve">7</w:t>
      </w:r>
      <w:r>
        <w:rPr>
          <w:color w:val="000000"/>
          <w:sz w:val="24"/>
          <w:highlight w:val="none"/>
          <w:lang w:val="zh-TW" w:bidi="ar"/>
        </w:rPr>
        <w:t xml:space="preserve">电子开标</w:t>
      </w:r>
      <w:r/>
    </w:p>
    <w:p>
      <w:pPr>
        <w:ind w:firstLine="480"/>
        <w:spacing w:line="360" w:lineRule="auto"/>
        <w:rPr>
          <w:rFonts w:hint="eastAsia"/>
          <w:color w:val="000000"/>
          <w:sz w:val="24"/>
          <w:highlight w:val="none"/>
          <w:lang w:val="zh-TW" w:bidi="ar"/>
        </w:rPr>
      </w:pPr>
      <w:r>
        <w:rPr>
          <w:color w:val="000000"/>
          <w:sz w:val="24"/>
          <w:highlight w:val="none"/>
          <w:lang w:val="zh-TW" w:bidi="ar"/>
        </w:rPr>
        <w:t xml:space="preserve">供应商使用</w:t>
      </w:r>
      <w:r>
        <w:rPr>
          <w:color w:val="000000"/>
          <w:sz w:val="24"/>
          <w:highlight w:val="none"/>
          <w:lang w:bidi="ar"/>
        </w:rPr>
        <w:t xml:space="preserve">CA认证证书</w:t>
      </w:r>
      <w:r>
        <w:rPr>
          <w:color w:val="000000"/>
          <w:sz w:val="24"/>
          <w:highlight w:val="none"/>
          <w:lang w:val="zh-TW" w:bidi="ar"/>
        </w:rPr>
        <w:t xml:space="preserve">登录</w:t>
      </w:r>
      <w:r>
        <w:rPr>
          <w:color w:val="000000"/>
          <w:sz w:val="24"/>
          <w:highlight w:val="none"/>
          <w:lang w:bidi="ar"/>
        </w:rPr>
        <w:t xml:space="preserve">“苏采云”政府采购一体化平台进行电子</w:t>
      </w:r>
      <w:r>
        <w:rPr>
          <w:rFonts w:hint="eastAsia"/>
          <w:color w:val="000000"/>
          <w:sz w:val="24"/>
          <w:highlight w:val="none"/>
          <w:lang w:bidi="ar"/>
        </w:rPr>
        <w:t xml:space="preserve">化不见面</w:t>
      </w:r>
      <w:r>
        <w:rPr>
          <w:color w:val="000000"/>
          <w:sz w:val="24"/>
          <w:highlight w:val="none"/>
          <w:lang w:bidi="ar"/>
        </w:rPr>
        <w:t xml:space="preserve">开标</w:t>
      </w:r>
      <w:r>
        <w:rPr>
          <w:color w:val="000000"/>
          <w:sz w:val="24"/>
          <w:highlight w:val="none"/>
          <w:lang w:val="zh-TW" w:bidi="ar"/>
        </w:rPr>
        <w:t xml:space="preserve">。</w:t>
      </w:r>
      <w:r/>
    </w:p>
    <w:p>
      <w:pPr>
        <w:ind w:firstLine="480"/>
        <w:spacing w:line="360" w:lineRule="auto"/>
        <w:rPr>
          <w:rFonts w:hint="eastAsia"/>
          <w:color w:val="000000"/>
          <w:sz w:val="24"/>
          <w:highlight w:val="none"/>
          <w:lang w:val="zh-TW" w:bidi="ar"/>
        </w:rPr>
      </w:pPr>
      <w:r>
        <w:rPr>
          <w:rFonts w:hint="eastAsia"/>
          <w:color w:val="000000"/>
          <w:sz w:val="24"/>
          <w:highlight w:val="none"/>
          <w:lang w:val="en-US" w:eastAsia="zh-CN" w:bidi="ar"/>
        </w:rPr>
        <w:t xml:space="preserve">3</w:t>
      </w:r>
      <w:r>
        <w:rPr>
          <w:rFonts w:hint="eastAsia"/>
          <w:color w:val="000000"/>
          <w:sz w:val="24"/>
          <w:highlight w:val="none"/>
          <w:lang w:val="zh-TW" w:bidi="ar"/>
        </w:rPr>
        <w:t xml:space="preserve">.8注意事项</w:t>
      </w:r>
      <w:r/>
    </w:p>
    <w:p>
      <w:pPr>
        <w:ind w:firstLine="480"/>
        <w:spacing w:line="360" w:lineRule="auto"/>
        <w:rPr>
          <w:color w:val="000000"/>
          <w:sz w:val="24"/>
          <w:highlight w:val="none"/>
          <w:lang w:eastAsia="zh-TW"/>
        </w:rPr>
      </w:pPr>
      <w:r>
        <w:rPr>
          <w:color w:val="000000"/>
          <w:sz w:val="24"/>
          <w:highlight w:val="none"/>
          <w:lang w:val="zh-TW" w:bidi="ar"/>
        </w:rPr>
        <w:t xml:space="preserve">供应商</w:t>
      </w:r>
      <w:r>
        <w:rPr>
          <w:rFonts w:hint="eastAsia"/>
          <w:color w:val="000000"/>
          <w:sz w:val="24"/>
          <w:highlight w:val="none"/>
          <w:lang w:val="zh-TW" w:bidi="ar"/>
        </w:rPr>
        <w:t xml:space="preserve">在开标前应当</w:t>
      </w:r>
      <w:r>
        <w:rPr>
          <w:rFonts w:ascii="宋体" w:hAnsi="宋体"/>
          <w:color w:val="000000"/>
          <w:sz w:val="24"/>
          <w:highlight w:val="none"/>
        </w:rPr>
        <w:t xml:space="preserve">使用“验证CA”功能验证本地计算机的控件环境是否正常，并且在开标</w:t>
      </w:r>
      <w:r>
        <w:rPr>
          <w:rFonts w:hint="eastAsia" w:ascii="宋体" w:hAnsi="宋体"/>
          <w:color w:val="000000"/>
          <w:sz w:val="24"/>
          <w:highlight w:val="none"/>
        </w:rPr>
        <w:t xml:space="preserve">、评审</w:t>
      </w:r>
      <w:r>
        <w:rPr>
          <w:rFonts w:ascii="宋体" w:hAnsi="宋体"/>
          <w:color w:val="000000"/>
          <w:sz w:val="24"/>
          <w:highlight w:val="none"/>
        </w:rPr>
        <w:t xml:space="preserve">过程中不可随意更换</w:t>
      </w:r>
      <w:r>
        <w:rPr>
          <w:rFonts w:hint="eastAsia" w:ascii="宋体" w:hAnsi="宋体"/>
          <w:color w:val="000000"/>
          <w:sz w:val="24"/>
          <w:highlight w:val="none"/>
        </w:rPr>
        <w:t xml:space="preserve">计算机</w:t>
      </w:r>
      <w:r>
        <w:rPr>
          <w:rFonts w:ascii="宋体" w:hAnsi="宋体"/>
          <w:color w:val="000000"/>
          <w:sz w:val="24"/>
          <w:highlight w:val="none"/>
        </w:rPr>
        <w:t xml:space="preserve">，必须使用验证成功的</w:t>
      </w:r>
      <w:r>
        <w:rPr>
          <w:rFonts w:hint="eastAsia" w:ascii="宋体" w:hAnsi="宋体"/>
          <w:color w:val="000000"/>
          <w:sz w:val="24"/>
          <w:highlight w:val="none"/>
        </w:rPr>
        <w:t xml:space="preserve">计算机</w:t>
      </w:r>
      <w:r>
        <w:rPr>
          <w:rFonts w:ascii="宋体" w:hAnsi="宋体"/>
          <w:color w:val="000000"/>
          <w:sz w:val="24"/>
          <w:highlight w:val="none"/>
        </w:rPr>
        <w:t xml:space="preserve">进行操作，否则造成相应后果由供应商自行承担。</w:t>
      </w:r>
      <w:r/>
    </w:p>
    <w:p>
      <w:pPr>
        <w:ind w:firstLine="480"/>
        <w:spacing w:line="360" w:lineRule="auto"/>
        <w:rPr>
          <w:color w:val="000000"/>
          <w:sz w:val="24"/>
          <w:highlight w:val="none"/>
          <w:lang w:val="zh-TW" w:bidi="ar"/>
        </w:rPr>
      </w:pPr>
      <w:r>
        <w:rPr>
          <w:rFonts w:hint="eastAsia"/>
          <w:color w:val="000000"/>
          <w:sz w:val="24"/>
          <w:highlight w:val="none"/>
          <w:lang w:val="en-US" w:eastAsia="zh-CN" w:bidi="ar"/>
        </w:rPr>
        <w:t xml:space="preserve">4</w:t>
      </w:r>
      <w:r>
        <w:rPr>
          <w:rFonts w:hint="eastAsia"/>
          <w:color w:val="000000"/>
          <w:sz w:val="24"/>
          <w:highlight w:val="none"/>
          <w:lang w:val="zh-TW" w:bidi="ar"/>
        </w:rPr>
        <w:t xml:space="preserve">.关于常州市中小企业政府采购信用融资：</w:t>
      </w:r>
      <w:r/>
    </w:p>
    <w:p>
      <w:pPr>
        <w:ind w:firstLine="480"/>
        <w:jc w:val="left"/>
        <w:spacing w:line="360" w:lineRule="auto"/>
        <w:widowControl/>
        <w:rPr>
          <w:color w:val="000000"/>
          <w:highlight w:val="none"/>
        </w:rPr>
      </w:pPr>
      <w:r>
        <w:rPr>
          <w:rFonts w:hint="eastAsia"/>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53"/>
        <w:jc w:val="left"/>
        <w:spacing w:before="0" w:line="360" w:lineRule="auto"/>
        <w:rPr>
          <w:rFonts w:ascii="Times New Roman" w:hAnsi="Times New Roman" w:eastAsia="宋体"/>
          <w:color w:val="000000"/>
          <w:sz w:val="24"/>
          <w:szCs w:val="24"/>
          <w:highlight w:val="none"/>
        </w:rPr>
      </w:pPr>
      <w:r/>
      <w:bookmarkStart w:id="25" w:name="_Toc35393627"/>
      <w:r/>
      <w:bookmarkStart w:id="26" w:name="_Toc28359008"/>
      <w:r/>
      <w:bookmarkStart w:id="27" w:name="_Toc28359085"/>
      <w:r/>
      <w:bookmarkStart w:id="28" w:name="_Toc35393796"/>
      <w:r>
        <w:rPr>
          <w:rFonts w:ascii="Times New Roman" w:hAnsi="Times New Roman" w:eastAsia="宋体"/>
          <w:color w:val="000000"/>
          <w:sz w:val="24"/>
          <w:szCs w:val="24"/>
          <w:highlight w:val="none"/>
        </w:rPr>
        <w:t xml:space="preserve">八、对本项目提出询问，请按以下方式联系。</w:t>
      </w:r>
      <w:bookmarkEnd w:id="25"/>
      <w:r/>
      <w:bookmarkEnd w:id="26"/>
      <w:r/>
      <w:bookmarkEnd w:id="27"/>
      <w:r/>
      <w:bookmarkEnd w:id="28"/>
      <w:r/>
      <w:r/>
    </w:p>
    <w:p>
      <w:pPr>
        <w:jc w:val="left"/>
        <w:spacing w:line="360" w:lineRule="auto"/>
        <w:widowControl/>
        <w:rPr>
          <w:b/>
          <w:color w:val="000000"/>
          <w:sz w:val="24"/>
          <w:highlight w:val="none"/>
        </w:rPr>
      </w:pPr>
      <w:r>
        <w:rPr>
          <w:color w:val="000000"/>
          <w:sz w:val="24"/>
          <w:highlight w:val="none"/>
        </w:rPr>
        <w:t xml:space="preserve">　　　</w:t>
      </w:r>
      <w:r>
        <w:rPr>
          <w:b/>
          <w:color w:val="000000"/>
          <w:sz w:val="24"/>
          <w:highlight w:val="none"/>
        </w:rPr>
        <w:t xml:space="preserve">1.采购人信息</w:t>
      </w:r>
      <w:r/>
    </w:p>
    <w:p>
      <w:pPr>
        <w:ind w:left="1079" w:hanging="300"/>
        <w:jc w:val="left"/>
        <w:spacing w:line="360" w:lineRule="auto"/>
        <w:rPr>
          <w:rFonts w:ascii="宋体" w:hAnsi="宋体" w:eastAsia="宋体" w:cs="宋体"/>
          <w:color w:val="000000"/>
          <w:sz w:val="24"/>
          <w:highlight w:val="none"/>
          <w:u w:val="none"/>
        </w:rPr>
      </w:pPr>
      <w:r/>
      <w:bookmarkStart w:id="29" w:name="_Toc28359086"/>
      <w:r/>
      <w:bookmarkStart w:id="30" w:name="_Toc28359009"/>
      <w:r>
        <w:rPr>
          <w:rFonts w:hint="eastAsia" w:ascii="宋体" w:hAnsi="宋体" w:eastAsia="宋体" w:cs="宋体"/>
          <w:color w:val="000000"/>
          <w:sz w:val="24"/>
          <w:highlight w:val="none"/>
          <w:u w:val="none"/>
        </w:rPr>
        <w:t xml:space="preserve">名    称：</w:t>
      </w:r>
      <w:r>
        <w:rPr>
          <w:rFonts w:hint="eastAsia" w:ascii="宋体" w:hAnsi="宋体" w:cs="宋体"/>
          <w:color w:val="000000"/>
          <w:sz w:val="24"/>
          <w:highlight w:val="none"/>
          <w:u w:val="none"/>
          <w:lang w:eastAsia="zh-CN"/>
        </w:rPr>
        <w:t xml:space="preserve">溧阳市上黄镇人民政府</w:t>
      </w:r>
      <w:r/>
    </w:p>
    <w:p>
      <w:pPr>
        <w:ind w:left="1079" w:hanging="300"/>
        <w:jc w:val="left"/>
        <w:spacing w:line="360" w:lineRule="auto"/>
        <w:rPr>
          <w:rFonts w:hint="eastAsia" w:ascii="宋体" w:hAnsi="宋体" w:eastAsia="宋体" w:cs="宋体"/>
          <w:color w:val="000000"/>
          <w:sz w:val="24"/>
          <w:highlight w:val="none"/>
          <w:u w:val="none"/>
          <w:lang w:val="en-US" w:eastAsia="zh-CN"/>
        </w:rPr>
      </w:pPr>
      <w:r>
        <w:rPr>
          <w:rFonts w:hint="eastAsia" w:ascii="宋体" w:hAnsi="宋体" w:eastAsia="宋体" w:cs="宋体"/>
          <w:color w:val="000000"/>
          <w:sz w:val="24"/>
          <w:highlight w:val="none"/>
          <w:u w:val="none"/>
        </w:rPr>
        <w:t xml:space="preserve">地    址：</w:t>
      </w:r>
      <w:r>
        <w:rPr>
          <w:rFonts w:hint="eastAsia" w:ascii="宋体" w:hAnsi="宋体" w:eastAsia="宋体" w:cs="宋体"/>
          <w:color w:val="000000"/>
          <w:sz w:val="24"/>
          <w:highlight w:val="none"/>
          <w:u w:val="none"/>
          <w:lang w:val="en-US" w:eastAsia="zh-CN"/>
        </w:rPr>
        <w:t xml:space="preserve">溧阳市上黄镇</w:t>
      </w:r>
      <w:r/>
    </w:p>
    <w:p>
      <w:pPr>
        <w:ind w:left="1076" w:hanging="297"/>
        <w:jc w:val="left"/>
        <w:spacing w:line="360" w:lineRule="auto"/>
        <w:rPr>
          <w:rFonts w:hint="eastAsia" w:ascii="宋体" w:hAnsi="宋体" w:eastAsia="宋体" w:cs="宋体"/>
          <w:color w:val="000000"/>
          <w:sz w:val="24"/>
          <w:highlight w:val="none"/>
          <w:u w:val="none"/>
          <w:lang w:val="en-US" w:eastAsia="zh-CN"/>
        </w:rPr>
      </w:pPr>
      <w:r>
        <w:rPr>
          <w:rFonts w:hint="eastAsia" w:ascii="宋体" w:hAnsi="宋体" w:eastAsia="宋体" w:cs="宋体"/>
          <w:color w:val="000000"/>
          <w:sz w:val="24"/>
          <w:highlight w:val="none"/>
          <w:u w:val="none"/>
        </w:rPr>
        <w:t xml:space="preserve">联系方式：</w:t>
      </w:r>
      <w:bookmarkEnd w:id="29"/>
      <w:r/>
      <w:bookmarkEnd w:id="30"/>
      <w:r>
        <w:rPr>
          <w:rFonts w:hint="eastAsia" w:ascii="宋体" w:hAnsi="宋体" w:eastAsia="宋体" w:cs="宋体"/>
          <w:color w:val="000000"/>
          <w:sz w:val="24"/>
          <w:highlight w:val="none"/>
          <w:u w:val="none"/>
          <w:lang w:val="en-US" w:eastAsia="zh-CN"/>
        </w:rPr>
        <w:t xml:space="preserve">0519-87397568</w:t>
      </w:r>
      <w:r/>
    </w:p>
    <w:p>
      <w:pPr>
        <w:ind w:left="1078" w:hanging="299"/>
        <w:jc w:val="left"/>
        <w:spacing w:line="360" w:lineRule="auto"/>
        <w:rPr>
          <w:rFonts w:hint="eastAsia" w:ascii="宋体" w:hAnsi="宋体" w:eastAsia="宋体" w:cs="宋体"/>
          <w:b/>
          <w:color w:val="000000"/>
          <w:sz w:val="24"/>
          <w:szCs w:val="24"/>
          <w:highlight w:val="none"/>
          <w:u w:val="none"/>
        </w:rPr>
      </w:pPr>
      <w:r>
        <w:rPr>
          <w:rFonts w:hint="eastAsia" w:ascii="宋体" w:hAnsi="宋体" w:eastAsia="宋体" w:cs="宋体"/>
          <w:b/>
          <w:color w:val="000000"/>
          <w:sz w:val="24"/>
          <w:szCs w:val="24"/>
          <w:highlight w:val="none"/>
          <w:u w:val="none"/>
        </w:rPr>
        <w:t xml:space="preserve">2.采购代理机构信息</w:t>
      </w:r>
      <w:r/>
    </w:p>
    <w:p>
      <w:pPr>
        <w:ind w:left="1076" w:hanging="297"/>
        <w:jc w:val="left"/>
        <w:spacing w:line="360" w:lineRule="auto"/>
        <w:rPr>
          <w:rFonts w:hint="eastAsia" w:ascii="宋体" w:hAnsi="宋体" w:eastAsia="宋体" w:cs="宋体"/>
          <w:color w:val="000000"/>
          <w:sz w:val="24"/>
          <w:szCs w:val="24"/>
          <w:highlight w:val="none"/>
          <w:u w:val="none"/>
        </w:rPr>
      </w:pPr>
      <w:r/>
      <w:bookmarkStart w:id="31" w:name="_Toc28359087"/>
      <w:r/>
      <w:bookmarkStart w:id="32" w:name="_Toc28359010"/>
      <w:r>
        <w:rPr>
          <w:rFonts w:hint="eastAsia" w:ascii="宋体" w:hAnsi="宋体" w:eastAsia="宋体" w:cs="宋体"/>
          <w:color w:val="000000"/>
          <w:sz w:val="24"/>
          <w:szCs w:val="24"/>
          <w:highlight w:val="none"/>
          <w:u w:val="none"/>
        </w:rPr>
        <w:t xml:space="preserve">名    称：</w:t>
      </w:r>
      <w:r>
        <w:rPr>
          <w:rFonts w:hint="eastAsia" w:ascii="宋体" w:hAnsi="宋体" w:eastAsia="宋体" w:cs="宋体"/>
          <w:i w:val="0"/>
          <w:iCs w:val="0"/>
          <w:color w:val="000000"/>
          <w:sz w:val="24"/>
          <w:szCs w:val="24"/>
          <w:highlight w:val="none"/>
          <w:u w:val="none"/>
          <w:lang w:val="en-US" w:eastAsia="zh-CN"/>
        </w:rPr>
        <w:t xml:space="preserve">溧阳众邦工程项目管理有限公司</w:t>
      </w:r>
      <w:r/>
    </w:p>
    <w:p>
      <w:pPr>
        <w:ind w:left="1076" w:hanging="297"/>
        <w:jc w:val="left"/>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地    址：</w:t>
      </w:r>
      <w:r>
        <w:rPr>
          <w:rFonts w:hint="eastAsia" w:ascii="宋体" w:hAnsi="宋体" w:eastAsia="宋体" w:cs="宋体"/>
          <w:i w:val="0"/>
          <w:iCs w:val="0"/>
          <w:color w:val="000000"/>
          <w:sz w:val="24"/>
          <w:szCs w:val="24"/>
          <w:highlight w:val="none"/>
          <w:u w:val="none"/>
          <w:lang w:val="en-US" w:eastAsia="en-US"/>
        </w:rPr>
        <w:t xml:space="preserve">溧阳市昆仑街道平陵西路352号6幢3楼</w:t>
      </w:r>
      <w:r/>
    </w:p>
    <w:p>
      <w:pPr>
        <w:ind w:left="1076" w:hanging="297"/>
        <w:jc w:val="left"/>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联系方式：</w:t>
      </w:r>
      <w:r>
        <w:rPr>
          <w:rFonts w:hint="eastAsia" w:ascii="宋体" w:hAnsi="宋体" w:eastAsia="宋体" w:cs="宋体"/>
          <w:i w:val="0"/>
          <w:iCs w:val="0"/>
          <w:color w:val="000000"/>
          <w:sz w:val="24"/>
          <w:szCs w:val="24"/>
          <w:highlight w:val="none"/>
          <w:u w:val="none"/>
          <w:lang w:val="en-US" w:eastAsia="en-US"/>
        </w:rPr>
        <w:t xml:space="preserve">0519-80992882</w:t>
      </w:r>
      <w:r/>
    </w:p>
    <w:p>
      <w:pPr>
        <w:ind w:left="1078" w:hanging="299"/>
        <w:spacing w:line="360" w:lineRule="auto"/>
        <w:rPr>
          <w:rFonts w:hint="eastAsia" w:ascii="宋体" w:hAnsi="宋体" w:eastAsia="宋体" w:cs="宋体"/>
          <w:b/>
          <w:color w:val="000000"/>
          <w:sz w:val="24"/>
          <w:szCs w:val="24"/>
          <w:highlight w:val="none"/>
          <w:u w:val="none"/>
        </w:rPr>
      </w:pPr>
      <w:r>
        <w:rPr>
          <w:rFonts w:hint="eastAsia" w:ascii="宋体" w:hAnsi="宋体" w:eastAsia="宋体" w:cs="宋体"/>
          <w:b/>
          <w:color w:val="000000"/>
          <w:sz w:val="24"/>
          <w:szCs w:val="24"/>
          <w:highlight w:val="none"/>
          <w:u w:val="none"/>
        </w:rPr>
        <w:t xml:space="preserve">3.项目联系方式</w:t>
      </w:r>
      <w:bookmarkEnd w:id="31"/>
      <w:r/>
      <w:bookmarkEnd w:id="32"/>
      <w:r/>
      <w:r/>
    </w:p>
    <w:p>
      <w:pPr>
        <w:pStyle w:val="990"/>
        <w:ind w:left="1076" w:hanging="297"/>
        <w:spacing w:line="360" w:lineRule="auto"/>
        <w:rPr>
          <w:rFonts w:hint="eastAsia" w:ascii="宋体" w:hAnsi="宋体" w:eastAsia="宋体" w:cs="宋体"/>
          <w:color w:val="000000"/>
          <w:sz w:val="24"/>
          <w:szCs w:val="24"/>
          <w:highlight w:val="none"/>
          <w:u w:val="none"/>
          <w:lang w:bidi="ar"/>
        </w:rPr>
      </w:pPr>
      <w:r>
        <w:rPr>
          <w:rFonts w:hint="eastAsia" w:ascii="宋体" w:hAnsi="宋体" w:eastAsia="宋体" w:cs="宋体"/>
          <w:color w:val="000000"/>
          <w:sz w:val="24"/>
          <w:szCs w:val="24"/>
          <w:highlight w:val="none"/>
          <w:u w:val="none"/>
        </w:rPr>
        <w:t xml:space="preserve">项目联系人：</w:t>
      </w:r>
      <w:r>
        <w:rPr>
          <w:rFonts w:hint="eastAsia" w:hAnsi="宋体" w:eastAsia="宋体" w:cs="宋体"/>
          <w:color w:val="000000"/>
          <w:sz w:val="24"/>
          <w:szCs w:val="24"/>
          <w:highlight w:val="none"/>
          <w:u w:val="none"/>
          <w:lang w:val="en-US" w:eastAsia="zh-CN"/>
        </w:rPr>
        <w:t xml:space="preserve">郑</w:t>
      </w:r>
      <w:r>
        <w:rPr>
          <w:rFonts w:hint="eastAsia" w:ascii="宋体" w:hAnsi="宋体" w:eastAsia="宋体" w:cs="宋体"/>
          <w:i w:val="0"/>
          <w:iCs w:val="0"/>
          <w:color w:val="000000"/>
          <w:sz w:val="24"/>
          <w:szCs w:val="24"/>
          <w:highlight w:val="none"/>
          <w:u w:val="none"/>
          <w:lang w:val="en-US" w:eastAsia="en-US"/>
        </w:rPr>
        <w:t xml:space="preserve">工</w:t>
      </w:r>
      <w:r/>
    </w:p>
    <w:p>
      <w:pPr>
        <w:pStyle w:val="990"/>
        <w:ind w:left="1076" w:hanging="297"/>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电      话：</w:t>
      </w:r>
      <w:r>
        <w:rPr>
          <w:rFonts w:hint="eastAsia" w:ascii="宋体" w:hAnsi="宋体" w:eastAsia="宋体" w:cs="宋体"/>
          <w:i w:val="0"/>
          <w:iCs w:val="0"/>
          <w:color w:val="000000"/>
          <w:sz w:val="24"/>
          <w:szCs w:val="24"/>
          <w:highlight w:val="none"/>
          <w:u w:val="none"/>
          <w:lang w:val="en-US" w:eastAsia="en-US"/>
        </w:rPr>
        <w:t xml:space="preserve">0519-80992882</w:t>
      </w:r>
      <w:r/>
    </w:p>
    <w:p>
      <w:pPr>
        <w:ind w:firstLine="5880"/>
        <w:jc w:val="right"/>
        <w:spacing w:line="360" w:lineRule="auto"/>
        <w:rPr>
          <w:color w:val="000000"/>
          <w:sz w:val="24"/>
          <w:highlight w:val="none"/>
        </w:rPr>
      </w:pPr>
      <w:r>
        <w:rPr>
          <w:color w:val="000000"/>
          <w:sz w:val="24"/>
          <w:highlight w:val="none"/>
        </w:rPr>
      </w:r>
      <w:r/>
    </w:p>
    <w:p>
      <w:pPr>
        <w:jc w:val="center"/>
        <w:spacing w:line="360" w:lineRule="auto"/>
        <w:rPr>
          <w:b/>
          <w:color w:val="000000"/>
          <w:sz w:val="32"/>
          <w:szCs w:val="32"/>
          <w:highlight w:val="none"/>
        </w:rPr>
        <w:outlineLvl w:val="0"/>
      </w:pPr>
      <w:r>
        <w:rPr>
          <w:color w:val="000000"/>
          <w:sz w:val="24"/>
          <w:highlight w:val="none"/>
        </w:rPr>
        <w:br w:type="page" w:clear="all"/>
      </w:r>
      <w:bookmarkStart w:id="33" w:name="_Toc195842950"/>
      <w:r/>
      <w:bookmarkStart w:id="34" w:name="_Toc127161488"/>
      <w:r/>
      <w:bookmarkStart w:id="35" w:name="_Toc226965856"/>
      <w:r/>
      <w:bookmarkStart w:id="36" w:name="_Toc150774783"/>
      <w:r/>
      <w:bookmarkStart w:id="37" w:name="_Toc353825548"/>
      <w:r/>
      <w:bookmarkStart w:id="38" w:name="_Toc305158928"/>
      <w:r/>
      <w:bookmarkStart w:id="39" w:name="_Toc265228423"/>
      <w:r/>
      <w:bookmarkStart w:id="40" w:name="_Toc512937850"/>
      <w:r/>
      <w:bookmarkStart w:id="41" w:name="_Toc353873938"/>
      <w:r/>
      <w:bookmarkStart w:id="42" w:name="_Toc264969275"/>
      <w:r/>
      <w:bookmarkStart w:id="43" w:name="_Toc127151777"/>
      <w:r/>
      <w:bookmarkStart w:id="44" w:name="_Toc104818926"/>
      <w:r/>
      <w:bookmarkStart w:id="45" w:name="_Toc305158854"/>
      <w:r>
        <w:rPr>
          <w:b/>
          <w:color w:val="000000"/>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953"/>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46" w:name="_Toc520356144"/>
      <w:r/>
      <w:bookmarkStart w:id="47" w:name="_Toc142311021"/>
      <w:r/>
      <w:bookmarkStart w:id="48" w:name="_Toc127161433"/>
      <w:r/>
      <w:bookmarkStart w:id="49" w:name="_Toc151193907"/>
      <w:r/>
      <w:bookmarkStart w:id="50" w:name="_Toc150774619"/>
      <w:r/>
      <w:bookmarkStart w:id="51" w:name="_Toc151193761"/>
      <w:r/>
      <w:bookmarkStart w:id="52" w:name="_Toc151193833"/>
      <w:r/>
      <w:bookmarkStart w:id="53" w:name="_Toc226965709"/>
      <w:r/>
      <w:bookmarkStart w:id="54" w:name="_Toc195842884"/>
      <w:r/>
      <w:bookmarkStart w:id="55" w:name="_Toc164608788"/>
      <w:r/>
      <w:bookmarkStart w:id="56" w:name="_Toc226337215"/>
      <w:r/>
      <w:bookmarkStart w:id="57" w:name="_Toc127151519"/>
      <w:r/>
      <w:bookmarkStart w:id="58" w:name="_Toc151193689"/>
      <w:r/>
      <w:bookmarkStart w:id="59" w:name="_Toc127151720"/>
      <w:r/>
      <w:bookmarkStart w:id="60" w:name="_Toc150774724"/>
      <w:r/>
      <w:bookmarkStart w:id="61" w:name="_Toc164608633"/>
      <w:r/>
      <w:bookmarkStart w:id="62" w:name="_Toc151190146"/>
      <w:r/>
      <w:bookmarkStart w:id="63" w:name="_Toc150509270"/>
      <w:r/>
      <w:bookmarkStart w:id="64" w:name="_Toc149720812"/>
      <w:r/>
      <w:bookmarkStart w:id="65" w:name="_Toc226309763"/>
      <w:r/>
      <w:bookmarkStart w:id="66" w:name="_Toc151193617"/>
      <w:r/>
      <w:bookmarkStart w:id="67" w:name="_Toc226965792"/>
      <w:r/>
      <w:bookmarkStart w:id="68" w:name="_Toc164229214"/>
      <w:r/>
      <w:bookmarkStart w:id="69" w:name="_Toc150480757"/>
      <w:r/>
      <w:bookmarkStart w:id="70" w:name="_Toc164229360"/>
      <w:r/>
      <w:bookmarkStart w:id="71" w:name="_Toc164351613"/>
      <w:r>
        <w:rPr>
          <w:rFonts w:ascii="Times New Roman" w:hAnsi="Times New Roman" w:eastAsia="宋体"/>
          <w:color w:val="000000"/>
          <w:sz w:val="28"/>
          <w:highlight w:val="none"/>
        </w:rPr>
        <w:t xml:space="preserve">供应商须知资料表</w:t>
      </w:r>
      <w:r/>
    </w:p>
    <w:p>
      <w:pPr>
        <w:jc w:val="center"/>
        <w:rPr>
          <w:b/>
          <w:color w:val="000000"/>
          <w:sz w:val="28"/>
          <w:szCs w:val="28"/>
          <w:highlight w:val="none"/>
        </w:rPr>
      </w:pPr>
      <w:r>
        <w:rPr>
          <w:b/>
          <w:color w:val="000000"/>
          <w:sz w:val="28"/>
          <w:szCs w:val="28"/>
          <w:highlight w:val="none"/>
        </w:rPr>
      </w:r>
      <w:r/>
    </w:p>
    <w:p>
      <w:pPr>
        <w:ind w:firstLine="480"/>
        <w:spacing w:line="360" w:lineRule="auto"/>
        <w:rPr>
          <w:color w:val="000000"/>
          <w:sz w:val="24"/>
          <w:highlight w:val="none"/>
        </w:rPr>
      </w:pPr>
      <w:r>
        <w:rPr>
          <w:color w:val="000000"/>
          <w:sz w:val="24"/>
          <w:highlight w:val="none"/>
        </w:rPr>
        <w:t xml:space="preserve">本表是对供应商须知的具体补充和修改，如有矛盾，均以本资料表为准。标记“</w:t>
      </w:r>
      <w:r>
        <w:rPr>
          <w:rFonts w:hint="eastAsia"/>
          <w:color w:val="000000"/>
          <w:highlight w:val="none"/>
        </w:rPr>
        <w:t xml:space="preserve">☑</w:t>
      </w:r>
      <w:r>
        <w:rPr>
          <w:color w:val="000000"/>
          <w:sz w:val="24"/>
          <w:highlight w:val="none"/>
        </w:rPr>
        <w:t xml:space="preserve">”的选项意为适用于本项目，标记“</w:t>
      </w:r>
      <w:r>
        <w:rPr>
          <w:rFonts w:hint="eastAsia"/>
          <w:color w:val="000000"/>
          <w:highlight w:val="none"/>
        </w:rPr>
        <w:t xml:space="preserve">□</w:t>
      </w:r>
      <w:r>
        <w:rPr>
          <w:color w:val="000000"/>
          <w:sz w:val="24"/>
          <w:highlight w:val="none"/>
        </w:rPr>
        <w:t xml:space="preserve">”的选项意为不适用于本项目。</w:t>
      </w:r>
      <w:r/>
    </w:p>
    <w:tbl>
      <w:tblPr>
        <w:tblStyle w:val="781"/>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color w:val="000000"/>
                <w:sz w:val="24"/>
                <w:highlight w:val="none"/>
              </w:rPr>
            </w:pPr>
            <w:r>
              <w:rPr>
                <w:b/>
                <w:color w:val="000000"/>
                <w:sz w:val="24"/>
                <w:highlight w:val="none"/>
              </w:rPr>
              <w:t xml:space="preserve">条款号</w:t>
            </w:r>
            <w:r/>
          </w:p>
        </w:tc>
        <w:tc>
          <w:tcPr>
            <w:tcW w:w="1701" w:type="dxa"/>
            <w:vAlign w:val="center"/>
            <w:textDirection w:val="lrTb"/>
            <w:noWrap w:val="false"/>
          </w:tcPr>
          <w:p>
            <w:pPr>
              <w:jc w:val="center"/>
              <w:rPr>
                <w:b/>
                <w:bCs/>
                <w:color w:val="000000"/>
                <w:sz w:val="24"/>
                <w:highlight w:val="none"/>
              </w:rPr>
            </w:pPr>
            <w:r>
              <w:rPr>
                <w:b/>
                <w:bCs/>
                <w:color w:val="000000"/>
                <w:sz w:val="24"/>
                <w:highlight w:val="none"/>
              </w:rPr>
              <w:t xml:space="preserve">条目</w:t>
            </w:r>
            <w:r/>
          </w:p>
        </w:tc>
        <w:tc>
          <w:tcPr>
            <w:tcW w:w="7253" w:type="dxa"/>
            <w:vAlign w:val="center"/>
            <w:textDirection w:val="lrTb"/>
            <w:noWrap w:val="false"/>
          </w:tcPr>
          <w:p>
            <w:pPr>
              <w:jc w:val="center"/>
              <w:rPr>
                <w:b/>
                <w:bCs/>
                <w:color w:val="000000"/>
                <w:sz w:val="24"/>
                <w:highlight w:val="none"/>
              </w:rPr>
            </w:pPr>
            <w:r>
              <w:rPr>
                <w:b/>
                <w:bCs/>
                <w:color w:val="000000"/>
                <w:sz w:val="24"/>
                <w:highlight w:val="none"/>
              </w:rPr>
              <w:t xml:space="preserve">内容</w:t>
            </w:r>
            <w:r/>
          </w:p>
        </w:tc>
      </w:tr>
      <w:tr>
        <w:trPr>
          <w:jc w:val="center"/>
          <w:trHeight w:val="20"/>
        </w:trPr>
        <w:tc>
          <w:tcPr>
            <w:tcW w:w="988" w:type="dxa"/>
            <w:vAlign w:val="center"/>
            <w:textDirection w:val="lrTb"/>
            <w:noWrap w:val="false"/>
          </w:tcPr>
          <w:p>
            <w:pPr>
              <w:pStyle w:val="990"/>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项目属性</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项目属性：</w:t>
            </w:r>
            <w:r/>
          </w:p>
          <w:p>
            <w:pPr>
              <w:jc w:val="left"/>
              <w:rPr>
                <w:color w:val="000000"/>
                <w:sz w:val="24"/>
                <w:highlight w:val="none"/>
              </w:rPr>
            </w:pPr>
            <w:r>
              <w:rPr>
                <w:rFonts w:hint="eastAsia"/>
                <w:color w:val="000000"/>
                <w:highlight w:val="none"/>
              </w:rPr>
              <w:t xml:space="preserve">☑</w:t>
            </w:r>
            <w:r>
              <w:rPr>
                <w:color w:val="000000"/>
                <w:sz w:val="24"/>
                <w:highlight w:val="none"/>
              </w:rPr>
              <w:t xml:space="preserve">服务</w:t>
            </w:r>
            <w:r/>
          </w:p>
          <w:p>
            <w:pPr>
              <w:jc w:val="left"/>
              <w:rPr>
                <w:color w:val="000000"/>
                <w:sz w:val="24"/>
                <w:highlight w:val="none"/>
              </w:rPr>
            </w:pPr>
            <w:r>
              <w:rPr>
                <w:rFonts w:hint="eastAsia"/>
                <w:color w:val="000000"/>
                <w:highlight w:val="none"/>
              </w:rPr>
              <w:t xml:space="preserve">□</w:t>
            </w:r>
            <w:r>
              <w:rPr>
                <w:color w:val="000000"/>
                <w:sz w:val="24"/>
                <w:highlight w:val="none"/>
              </w:rPr>
              <w:t xml:space="preserve">货物</w:t>
            </w:r>
            <w:r/>
          </w:p>
          <w:p>
            <w:pPr>
              <w:jc w:val="left"/>
              <w:rPr>
                <w:color w:val="000000"/>
                <w:sz w:val="24"/>
                <w:highlight w:val="none"/>
                <w:u w:val="single"/>
              </w:rPr>
            </w:pPr>
            <w:r>
              <w:rPr>
                <w:rFonts w:hint="eastAsia"/>
                <w:color w:val="000000"/>
                <w:highlight w:val="none"/>
              </w:rPr>
              <w:t xml:space="preserve">□</w:t>
            </w:r>
            <w:r>
              <w:rPr>
                <w:rFonts w:hint="eastAsia"/>
                <w:color w:val="000000"/>
                <w:sz w:val="24"/>
                <w:highlight w:val="none"/>
              </w:rPr>
              <w:t xml:space="preserve">工程</w:t>
            </w:r>
            <w:r/>
          </w:p>
        </w:tc>
      </w:tr>
      <w:tr>
        <w:trPr>
          <w:jc w:val="center"/>
          <w:trHeight w:val="20"/>
        </w:trPr>
        <w:tc>
          <w:tcPr>
            <w:tcW w:w="988" w:type="dxa"/>
            <w:vAlign w:val="center"/>
            <w:textDirection w:val="lrTb"/>
            <w:noWrap w:val="false"/>
          </w:tcPr>
          <w:p>
            <w:pPr>
              <w:pStyle w:val="990"/>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科研仪器设备</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是否属于科研仪器设备采购项目：</w:t>
            </w:r>
            <w:r/>
          </w:p>
          <w:p>
            <w:pPr>
              <w:jc w:val="left"/>
              <w:rPr>
                <w:color w:val="000000"/>
                <w:sz w:val="24"/>
                <w:highlight w:val="none"/>
              </w:rPr>
            </w:pPr>
            <w:r>
              <w:rPr>
                <w:rFonts w:hint="eastAsia"/>
                <w:color w:val="000000"/>
                <w:highlight w:val="none"/>
              </w:rPr>
              <w:t xml:space="preserve">□</w:t>
            </w:r>
            <w:r>
              <w:rPr>
                <w:color w:val="000000"/>
                <w:sz w:val="24"/>
                <w:highlight w:val="none"/>
              </w:rPr>
              <w:t xml:space="preserve">是</w:t>
            </w:r>
            <w:r/>
          </w:p>
          <w:p>
            <w:pPr>
              <w:jc w:val="left"/>
              <w:rPr>
                <w:color w:val="000000"/>
                <w:sz w:val="24"/>
                <w:highlight w:val="none"/>
              </w:rPr>
            </w:pPr>
            <w:r>
              <w:rPr>
                <w:rFonts w:hint="eastAsia"/>
                <w:color w:val="000000"/>
                <w:highlight w:val="none"/>
              </w:rPr>
              <w:t xml:space="preserve">☑</w:t>
            </w:r>
            <w:r>
              <w:rPr>
                <w:color w:val="000000"/>
                <w:sz w:val="24"/>
                <w:highlight w:val="none"/>
              </w:rPr>
              <w:t xml:space="preserve">否</w:t>
            </w:r>
            <w:r/>
          </w:p>
        </w:tc>
      </w:tr>
      <w:tr>
        <w:trPr>
          <w:jc w:val="center"/>
          <w:trHeight w:val="20"/>
        </w:trPr>
        <w:tc>
          <w:tcPr>
            <w:tcW w:w="988" w:type="dxa"/>
            <w:vAlign w:val="center"/>
            <w:vMerge w:val="restart"/>
            <w:textDirection w:val="lrTb"/>
            <w:noWrap w:val="false"/>
          </w:tcPr>
          <w:p>
            <w:pPr>
              <w:pStyle w:val="990"/>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现场考察</w:t>
            </w:r>
            <w:r/>
          </w:p>
        </w:tc>
        <w:tc>
          <w:tcPr>
            <w:tcW w:w="7253" w:type="dxa"/>
            <w:vAlign w:val="center"/>
            <w:textDirection w:val="lrTb"/>
            <w:noWrap w:val="false"/>
          </w:tcPr>
          <w:p>
            <w:pPr>
              <w:jc w:val="left"/>
              <w:rPr>
                <w:color w:val="000000"/>
                <w:sz w:val="24"/>
                <w:highlight w:val="none"/>
              </w:rPr>
            </w:pPr>
            <w:r>
              <w:rPr>
                <w:rFonts w:hint="eastAsia"/>
                <w:color w:val="000000"/>
                <w:highlight w:val="none"/>
              </w:rPr>
              <w:t xml:space="preserve">☑</w:t>
            </w:r>
            <w:r>
              <w:rPr>
                <w:color w:val="000000"/>
                <w:sz w:val="24"/>
                <w:highlight w:val="none"/>
              </w:rPr>
              <w:t xml:space="preserve">不组织</w:t>
            </w:r>
            <w:r/>
          </w:p>
          <w:p>
            <w:pPr>
              <w:jc w:val="left"/>
              <w:rPr>
                <w:bCs/>
                <w:color w:val="000000"/>
                <w:sz w:val="24"/>
                <w:highlight w:val="none"/>
              </w:rPr>
            </w:pPr>
            <w:r>
              <w:rPr>
                <w:rFonts w:hint="eastAsia"/>
                <w:color w:val="000000"/>
                <w:highlight w:val="none"/>
              </w:rPr>
              <w:t xml:space="preserve">□</w:t>
            </w: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p>
          <w:p>
            <w:pPr>
              <w:pStyle w:val="990"/>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p>
        </w:tc>
      </w:tr>
      <w:tr>
        <w:trPr>
          <w:jc w:val="center"/>
          <w:trHeight w:val="20"/>
        </w:trPr>
        <w:tc>
          <w:tcPr>
            <w:tcW w:w="988" w:type="dxa"/>
            <w:vAlign w:val="center"/>
            <w:vMerge w:val="continue"/>
            <w:textDirection w:val="lrTb"/>
            <w:noWrap w:val="false"/>
          </w:tcPr>
          <w:p>
            <w:pPr>
              <w:pStyle w:val="990"/>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磋商前答疑会</w:t>
            </w:r>
            <w:r/>
          </w:p>
        </w:tc>
        <w:tc>
          <w:tcPr>
            <w:tcW w:w="7253" w:type="dxa"/>
            <w:vAlign w:val="center"/>
            <w:textDirection w:val="lrTb"/>
            <w:noWrap w:val="false"/>
          </w:tcPr>
          <w:p>
            <w:pPr>
              <w:jc w:val="left"/>
              <w:rPr>
                <w:color w:val="000000"/>
                <w:sz w:val="24"/>
                <w:highlight w:val="none"/>
              </w:rPr>
            </w:pPr>
            <w:r>
              <w:rPr>
                <w:rFonts w:hint="eastAsia"/>
                <w:color w:val="000000"/>
                <w:highlight w:val="none"/>
              </w:rPr>
              <w:t xml:space="preserve">☑</w:t>
            </w:r>
            <w:r>
              <w:rPr>
                <w:color w:val="000000"/>
                <w:sz w:val="24"/>
                <w:highlight w:val="none"/>
              </w:rPr>
              <w:t xml:space="preserve">不召开</w:t>
            </w:r>
            <w:r/>
          </w:p>
          <w:p>
            <w:pPr>
              <w:jc w:val="left"/>
              <w:rPr>
                <w:color w:val="000000"/>
                <w:sz w:val="24"/>
                <w:highlight w:val="none"/>
              </w:rPr>
            </w:pPr>
            <w:r>
              <w:rPr>
                <w:rFonts w:hint="eastAsia"/>
                <w:color w:val="000000"/>
                <w:highlight w:val="none"/>
              </w:rPr>
              <w:t xml:space="preserve">□</w:t>
            </w: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p>
          <w:p>
            <w:pPr>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p>
        </w:tc>
      </w:tr>
      <w:tr>
        <w:trPr>
          <w:jc w:val="center"/>
          <w:trHeight w:val="1225"/>
        </w:trPr>
        <w:tc>
          <w:tcPr>
            <w:tcW w:w="988" w:type="dxa"/>
            <w:vAlign w:val="center"/>
            <w:textDirection w:val="lrTb"/>
            <w:noWrap w:val="false"/>
          </w:tcPr>
          <w:p>
            <w:pPr>
              <w:pStyle w:val="990"/>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4.2.5</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标的所属行业</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 </w:t>
            </w:r>
            <w:r>
              <w:rPr>
                <w:color w:val="000000"/>
                <w:sz w:val="24"/>
                <w:highlight w:val="none"/>
                <w:u w:val="single"/>
              </w:rPr>
              <w:t xml:space="preserve"> </w:t>
            </w:r>
            <w:r>
              <w:rPr>
                <w:rFonts w:hint="eastAsia"/>
                <w:color w:val="000000"/>
                <w:sz w:val="24"/>
                <w:highlight w:val="none"/>
                <w:u w:val="single"/>
                <w:lang w:val="en-US" w:eastAsia="zh-CN"/>
              </w:rPr>
              <w:t xml:space="preserve">其他未列明行业</w:t>
            </w:r>
            <w:r>
              <w:rPr>
                <w:color w:val="000000"/>
                <w:sz w:val="24"/>
                <w:highlight w:val="none"/>
                <w:u w:val="single"/>
              </w:rPr>
              <w:t xml:space="preserve">  </w:t>
            </w:r>
            <w:r>
              <w:rPr>
                <w:rFonts w:hint="eastAsia"/>
                <w:color w:val="000000"/>
                <w:sz w:val="24"/>
                <w:highlight w:val="none"/>
                <w:u w:val="single"/>
              </w:rPr>
              <w:t xml:space="preserve"> </w:t>
            </w:r>
            <w:r/>
          </w:p>
        </w:tc>
      </w:tr>
      <w:tr>
        <w:trPr>
          <w:jc w:val="center"/>
          <w:trHeight w:val="890"/>
        </w:trPr>
        <w:tc>
          <w:tcPr>
            <w:tcW w:w="988" w:type="dxa"/>
            <w:vAlign w:val="center"/>
            <w:textDirection w:val="lrTb"/>
            <w:noWrap w:val="false"/>
          </w:tcPr>
          <w:p>
            <w:pPr>
              <w:pStyle w:val="990"/>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报价</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报价的特殊规定：</w:t>
            </w:r>
            <w:r/>
          </w:p>
          <w:p>
            <w:pPr>
              <w:jc w:val="left"/>
              <w:rPr>
                <w:color w:val="000000"/>
                <w:sz w:val="24"/>
                <w:highlight w:val="none"/>
              </w:rPr>
            </w:pPr>
            <w:r>
              <w:rPr>
                <w:rFonts w:hint="eastAsia"/>
                <w:color w:val="000000"/>
                <w:highlight w:val="none"/>
              </w:rPr>
              <w:t xml:space="preserve">□</w:t>
            </w:r>
            <w:r>
              <w:rPr>
                <w:color w:val="000000"/>
                <w:sz w:val="24"/>
                <w:highlight w:val="none"/>
              </w:rPr>
              <w:t xml:space="preserve">无</w:t>
            </w:r>
            <w:r/>
          </w:p>
          <w:p>
            <w:pPr>
              <w:jc w:val="left"/>
              <w:rPr>
                <w:rFonts w:eastAsia="宋体"/>
                <w:color w:val="000000"/>
                <w:sz w:val="24"/>
                <w:highlight w:val="none"/>
                <w:lang w:val="en-US" w:eastAsia="zh-CN"/>
              </w:rPr>
            </w:pPr>
            <w:r>
              <w:rPr>
                <w:rFonts w:hint="eastAsia"/>
                <w:color w:val="000000"/>
                <w:highlight w:val="none"/>
              </w:rPr>
              <w:t xml:space="preserve">☑</w:t>
            </w:r>
            <w:r>
              <w:rPr>
                <w:color w:val="000000"/>
                <w:sz w:val="24"/>
                <w:highlight w:val="none"/>
              </w:rPr>
              <w:t xml:space="preserve">有，具体情形：</w:t>
            </w:r>
            <w:r>
              <w:rPr>
                <w:rFonts w:hint="eastAsia"/>
                <w:color w:val="000000"/>
                <w:sz w:val="24"/>
                <w:highlight w:val="none"/>
              </w:rPr>
              <w:t xml:space="preserve">本项目采用二轮报价，响应文件中报价为首轮报价，</w:t>
            </w:r>
            <w:r>
              <w:rPr>
                <w:rFonts w:ascii="Times New Roman" w:hAnsi="Times New Roman" w:eastAsia="宋体" w:cs="Times New Roman"/>
                <w:b/>
                <w:bCs/>
                <w:color w:val="000000"/>
                <w:sz w:val="24"/>
                <w:highlight w:val="none"/>
              </w:rPr>
              <w:t xml:space="preserve">磋商结束后，磋商小组将要求所有实质性响应的供应商在规定时间内</w:t>
            </w:r>
            <w:r>
              <w:rPr>
                <w:rFonts w:hint="eastAsia" w:ascii="Times New Roman" w:hAnsi="Times New Roman" w:eastAsia="宋体" w:cs="Times New Roman"/>
                <w:b/>
                <w:bCs/>
                <w:color w:val="000000"/>
                <w:sz w:val="24"/>
                <w:highlight w:val="none"/>
              </w:rPr>
              <w:t xml:space="preserve">通过</w:t>
            </w:r>
            <w:r>
              <w:rPr>
                <w:rFonts w:ascii="Times New Roman" w:hAnsi="Times New Roman" w:eastAsia="宋体" w:cs="Times New Roman"/>
                <w:b/>
                <w:bCs/>
                <w:color w:val="000000"/>
                <w:sz w:val="24"/>
                <w:highlight w:val="none"/>
              </w:rPr>
              <w:t xml:space="preserve">“苏采云”政府采购一体化平台</w:t>
            </w:r>
            <w:r>
              <w:rPr>
                <w:rFonts w:hint="eastAsia" w:ascii="Times New Roman" w:hAnsi="Times New Roman" w:eastAsia="宋体" w:cs="Times New Roman"/>
                <w:b/>
                <w:bCs/>
                <w:color w:val="000000"/>
                <w:sz w:val="24"/>
                <w:highlight w:val="none"/>
              </w:rPr>
              <w:t xml:space="preserve">系统</w:t>
            </w:r>
            <w:r>
              <w:rPr>
                <w:rFonts w:ascii="Times New Roman" w:hAnsi="Times New Roman" w:eastAsia="宋体" w:cs="Times New Roman"/>
                <w:b/>
                <w:bCs/>
                <w:color w:val="000000"/>
                <w:sz w:val="24"/>
                <w:highlight w:val="none"/>
              </w:rPr>
              <w:t xml:space="preserve">提交</w:t>
            </w:r>
            <w:r>
              <w:rPr>
                <w:rFonts w:hint="eastAsia"/>
                <w:b/>
                <w:bCs/>
                <w:color w:val="000000"/>
                <w:sz w:val="24"/>
                <w:highlight w:val="none"/>
              </w:rPr>
              <w:t xml:space="preserve">第二轮报价</w:t>
            </w:r>
            <w:r>
              <w:rPr>
                <w:b/>
                <w:bCs/>
                <w:color w:val="000000"/>
                <w:sz w:val="24"/>
                <w:highlight w:val="none"/>
              </w:rPr>
              <w:t xml:space="preserve">，</w:t>
            </w:r>
            <w:r>
              <w:rPr>
                <w:rFonts w:hint="eastAsia"/>
                <w:b/>
                <w:bCs/>
                <w:color w:val="000000"/>
                <w:sz w:val="24"/>
                <w:highlight w:val="none"/>
                <w:lang w:val="en-US" w:eastAsia="en-US"/>
              </w:rPr>
              <w:t xml:space="preserve">第二轮报价</w:t>
            </w:r>
            <w:r>
              <w:rPr>
                <w:rFonts w:hint="eastAsia"/>
                <w:b/>
                <w:bCs/>
                <w:color w:val="000000"/>
                <w:sz w:val="24"/>
                <w:highlight w:val="none"/>
              </w:rPr>
              <w:t xml:space="preserve">不得超过首轮报价，否则作无效报价文件处理</w:t>
            </w:r>
            <w:r>
              <w:rPr>
                <w:b/>
                <w:bCs/>
                <w:color w:val="000000"/>
                <w:sz w:val="24"/>
                <w:highlight w:val="none"/>
              </w:rPr>
              <w:t xml:space="preserve">。</w:t>
            </w:r>
            <w:r/>
          </w:p>
        </w:tc>
      </w:tr>
      <w:tr>
        <w:trPr>
          <w:jc w:val="center"/>
          <w:trHeight w:val="20"/>
        </w:trPr>
        <w:tc>
          <w:tcPr>
            <w:tcW w:w="988" w:type="dxa"/>
            <w:vAlign w:val="center"/>
            <w:textDirection w:val="lrTb"/>
            <w:noWrap w:val="false"/>
          </w:tcPr>
          <w:p>
            <w:pPr>
              <w:pStyle w:val="990"/>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磋商保证金</w:t>
            </w:r>
            <w:r/>
          </w:p>
        </w:tc>
        <w:tc>
          <w:tcPr>
            <w:tcW w:w="7253" w:type="dxa"/>
            <w:vAlign w:val="center"/>
            <w:textDirection w:val="lrTb"/>
            <w:noWrap w:val="false"/>
          </w:tcPr>
          <w:p>
            <w:pPr>
              <w:jc w:val="left"/>
              <w:rPr>
                <w:color w:val="000000"/>
                <w:sz w:val="24"/>
                <w:highlight w:val="none"/>
              </w:rPr>
            </w:pPr>
            <w:r>
              <w:rPr>
                <w:rFonts w:hint="eastAsia"/>
                <w:color w:val="000000"/>
                <w:sz w:val="24"/>
                <w:highlight w:val="none"/>
              </w:rPr>
              <w:t xml:space="preserve">免收</w:t>
            </w:r>
            <w:r/>
          </w:p>
        </w:tc>
      </w:tr>
      <w:tr>
        <w:trPr>
          <w:jc w:val="center"/>
          <w:trHeight w:val="289"/>
        </w:trPr>
        <w:tc>
          <w:tcPr>
            <w:tcW w:w="988" w:type="dxa"/>
            <w:vAlign w:val="center"/>
            <w:textDirection w:val="lrTb"/>
            <w:noWrap w:val="false"/>
          </w:tcPr>
          <w:p>
            <w:pPr>
              <w:pStyle w:val="990"/>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响应有效期</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自提交响应文件的截止之日起算</w:t>
            </w:r>
            <w:r>
              <w:rPr>
                <w:rFonts w:hint="eastAsia"/>
                <w:color w:val="000000"/>
                <w:sz w:val="24"/>
                <w:highlight w:val="none"/>
                <w:u w:val="single"/>
                <w:lang w:val="en-US" w:eastAsia="zh-CN"/>
              </w:rPr>
              <w:t xml:space="preserve">60</w:t>
            </w:r>
            <w:r>
              <w:rPr>
                <w:color w:val="000000"/>
                <w:sz w:val="24"/>
                <w:highlight w:val="none"/>
              </w:rPr>
              <w:t xml:space="preserve">日历天。</w:t>
            </w:r>
            <w:r/>
          </w:p>
        </w:tc>
      </w:tr>
      <w:tr>
        <w:trPr>
          <w:jc w:val="center"/>
          <w:trHeight w:val="20"/>
        </w:trPr>
        <w:tc>
          <w:tcPr>
            <w:tcW w:w="988" w:type="dxa"/>
            <w:vAlign w:val="center"/>
            <w:textDirection w:val="lrTb"/>
            <w:noWrap w:val="false"/>
          </w:tcPr>
          <w:p>
            <w:pPr>
              <w:pStyle w:val="990"/>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分包</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本项目是否允许分包： </w:t>
            </w:r>
            <w:r/>
          </w:p>
          <w:p>
            <w:pPr>
              <w:jc w:val="left"/>
              <w:rPr>
                <w:color w:val="000000"/>
                <w:sz w:val="24"/>
                <w:highlight w:val="none"/>
              </w:rPr>
            </w:pPr>
            <w:r>
              <w:rPr>
                <w:rFonts w:hint="eastAsia"/>
                <w:color w:val="000000"/>
                <w:highlight w:val="none"/>
              </w:rPr>
              <w:t xml:space="preserve">☑</w:t>
            </w:r>
            <w:r>
              <w:rPr>
                <w:color w:val="000000"/>
                <w:sz w:val="24"/>
                <w:highlight w:val="none"/>
              </w:rPr>
              <w:t xml:space="preserve">不允许</w:t>
            </w:r>
            <w:r/>
          </w:p>
          <w:p>
            <w:pPr>
              <w:jc w:val="left"/>
              <w:rPr>
                <w:color w:val="000000"/>
                <w:sz w:val="24"/>
                <w:highlight w:val="none"/>
              </w:rPr>
            </w:pPr>
            <w:r>
              <w:rPr>
                <w:rFonts w:hint="eastAsia"/>
                <w:color w:val="000000"/>
                <w:highlight w:val="none"/>
              </w:rPr>
              <w:t xml:space="preserve">□</w:t>
            </w:r>
            <w:r>
              <w:rPr>
                <w:color w:val="000000"/>
                <w:sz w:val="24"/>
                <w:highlight w:val="none"/>
              </w:rPr>
              <w:t xml:space="preserve">允许，具体要求：_______。</w:t>
            </w:r>
            <w:r/>
          </w:p>
          <w:p>
            <w:pPr>
              <w:jc w:val="left"/>
              <w:rPr>
                <w:color w:val="000000"/>
                <w:sz w:val="24"/>
                <w:highlight w:val="none"/>
              </w:rPr>
            </w:pPr>
            <w:r>
              <w:rPr>
                <w:color w:val="000000"/>
                <w:sz w:val="24"/>
                <w:highlight w:val="none"/>
              </w:rPr>
              <w:t xml:space="preserve">（1）可以分包履行的具体内容：_______；</w:t>
            </w:r>
            <w:r/>
          </w:p>
          <w:p>
            <w:pPr>
              <w:jc w:val="left"/>
              <w:rPr>
                <w:color w:val="000000"/>
                <w:sz w:val="24"/>
                <w:highlight w:val="none"/>
              </w:rPr>
            </w:pPr>
            <w:r>
              <w:rPr>
                <w:color w:val="000000"/>
                <w:sz w:val="24"/>
                <w:highlight w:val="none"/>
              </w:rPr>
              <w:t xml:space="preserve">（2）允许分包的金额或者比例：_______；</w:t>
            </w:r>
            <w:r/>
          </w:p>
          <w:p>
            <w:pPr>
              <w:jc w:val="left"/>
              <w:rPr>
                <w:color w:val="000000"/>
                <w:sz w:val="24"/>
                <w:highlight w:val="none"/>
                <w:u w:val="single"/>
              </w:rPr>
            </w:pPr>
            <w:r>
              <w:rPr>
                <w:color w:val="000000"/>
                <w:sz w:val="24"/>
                <w:highlight w:val="none"/>
              </w:rPr>
              <w:t xml:space="preserve">（3）其他要求：_______。</w:t>
            </w:r>
            <w:r/>
          </w:p>
        </w:tc>
      </w:tr>
      <w:tr>
        <w:trPr>
          <w:jc w:val="center"/>
          <w:trHeight w:val="20"/>
        </w:trPr>
        <w:tc>
          <w:tcPr>
            <w:tcW w:w="988" w:type="dxa"/>
            <w:vAlign w:val="center"/>
            <w:textDirection w:val="lrTb"/>
            <w:noWrap w:val="false"/>
          </w:tcPr>
          <w:p>
            <w:pPr>
              <w:pStyle w:val="990"/>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询问</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询问送达形式：</w:t>
            </w:r>
            <w:r>
              <w:rPr>
                <w:rFonts w:hint="eastAsia"/>
                <w:color w:val="000000"/>
                <w:sz w:val="24"/>
                <w:highlight w:val="none"/>
                <w:lang w:eastAsia="zh-CN"/>
              </w:rPr>
              <w:t xml:space="preserve">书面形式</w:t>
            </w:r>
            <w:r>
              <w:rPr>
                <w:color w:val="000000"/>
                <w:sz w:val="24"/>
                <w:highlight w:val="none"/>
              </w:rPr>
              <w:t xml:space="preserve">。</w:t>
            </w:r>
            <w:r/>
          </w:p>
        </w:tc>
      </w:tr>
      <w:tr>
        <w:trPr>
          <w:jc w:val="center"/>
          <w:trHeight w:val="20"/>
        </w:trPr>
        <w:tc>
          <w:tcPr>
            <w:tcW w:w="988" w:type="dxa"/>
            <w:vAlign w:val="center"/>
            <w:textDirection w:val="lrTb"/>
            <w:noWrap w:val="false"/>
          </w:tcPr>
          <w:p>
            <w:pPr>
              <w:pStyle w:val="990"/>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联系方式</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接收询问和质疑的联系方式</w:t>
            </w:r>
            <w:r/>
          </w:p>
          <w:p>
            <w:pPr>
              <w:jc w:val="left"/>
              <w:rPr>
                <w:color w:val="000000"/>
                <w:sz w:val="24"/>
                <w:highlight w:val="none"/>
              </w:rPr>
            </w:pPr>
            <w:r>
              <w:rPr>
                <w:color w:val="000000"/>
                <w:sz w:val="24"/>
                <w:highlight w:val="none"/>
              </w:rPr>
              <w:t xml:space="preserve">联系部门：</w:t>
            </w:r>
            <w:r>
              <w:rPr>
                <w:rFonts w:hint="eastAsia" w:ascii="Times New Roman" w:hAnsi="Times New Roman" w:eastAsia="宋体" w:cs="Times New Roman"/>
                <w:color w:val="000000"/>
                <w:sz w:val="24"/>
                <w:highlight w:val="none"/>
                <w:u w:val="single"/>
                <w:lang w:val="en-US" w:eastAsia="zh-CN"/>
              </w:rPr>
              <w:t xml:space="preserve">溧阳众邦工程项目管理有限公司招标部</w:t>
            </w:r>
            <w:r>
              <w:rPr>
                <w:color w:val="000000"/>
                <w:sz w:val="24"/>
                <w:highlight w:val="none"/>
              </w:rPr>
              <w:t xml:space="preserve">；</w:t>
            </w:r>
            <w:r/>
          </w:p>
          <w:p>
            <w:pPr>
              <w:jc w:val="left"/>
              <w:rPr>
                <w:color w:val="000000"/>
                <w:sz w:val="24"/>
                <w:highlight w:val="none"/>
              </w:rPr>
            </w:pPr>
            <w:r>
              <w:rPr>
                <w:color w:val="000000"/>
                <w:sz w:val="24"/>
                <w:highlight w:val="none"/>
              </w:rPr>
              <w:t xml:space="preserve">联系电话：</w:t>
            </w:r>
            <w:r>
              <w:rPr>
                <w:rFonts w:hint="eastAsia"/>
                <w:color w:val="000000"/>
                <w:sz w:val="24"/>
                <w:highlight w:val="none"/>
                <w:u w:val="single"/>
                <w:lang w:val="en-US" w:eastAsia="zh-CN"/>
              </w:rPr>
              <w:t xml:space="preserve">0519-80992882</w:t>
            </w:r>
            <w:r>
              <w:rPr>
                <w:color w:val="000000"/>
                <w:sz w:val="24"/>
                <w:highlight w:val="none"/>
              </w:rPr>
              <w:t xml:space="preserve">；</w:t>
            </w:r>
            <w:r/>
          </w:p>
          <w:p>
            <w:pPr>
              <w:jc w:val="left"/>
              <w:rPr>
                <w:rFonts w:hint="eastAsia" w:eastAsia="宋体"/>
                <w:color w:val="000000"/>
                <w:sz w:val="24"/>
                <w:highlight w:val="none"/>
                <w:lang w:eastAsia="zh-CN"/>
              </w:rPr>
            </w:pPr>
            <w:r>
              <w:rPr>
                <w:color w:val="000000"/>
                <w:sz w:val="24"/>
                <w:highlight w:val="none"/>
              </w:rPr>
              <w:t xml:space="preserve">通讯地址：</w:t>
            </w:r>
            <w:r>
              <w:rPr>
                <w:rFonts w:hint="eastAsia" w:ascii="宋体" w:hAnsi="宋体" w:eastAsia="宋体" w:cs="宋体"/>
                <w:i w:val="0"/>
                <w:iCs w:val="0"/>
                <w:color w:val="000000"/>
                <w:sz w:val="24"/>
                <w:szCs w:val="24"/>
                <w:highlight w:val="none"/>
                <w:u w:val="single"/>
                <w:lang w:val="en-US" w:eastAsia="en-US"/>
              </w:rPr>
              <w:t xml:space="preserve">溧阳市昆仑街道平陵西路352号6幢3楼</w:t>
            </w:r>
            <w:r>
              <w:rPr>
                <w:rFonts w:hint="eastAsia" w:ascii="宋体" w:hAnsi="宋体" w:eastAsia="宋体" w:cs="宋体"/>
                <w:i w:val="0"/>
                <w:iCs w:val="0"/>
                <w:color w:val="000000"/>
                <w:sz w:val="24"/>
                <w:szCs w:val="24"/>
                <w:highlight w:val="none"/>
                <w:u w:val="single"/>
                <w:lang w:val="en-US" w:eastAsia="zh-CN"/>
              </w:rPr>
              <w:t xml:space="preserve">。</w:t>
            </w:r>
            <w:r/>
          </w:p>
        </w:tc>
      </w:tr>
      <w:tr>
        <w:trPr>
          <w:jc w:val="center"/>
          <w:trHeight w:val="20"/>
        </w:trPr>
        <w:tc>
          <w:tcPr>
            <w:tcW w:w="988" w:type="dxa"/>
            <w:vAlign w:val="center"/>
            <w:textDirection w:val="lrTb"/>
            <w:noWrap w:val="false"/>
          </w:tcPr>
          <w:p>
            <w:pPr>
              <w:pStyle w:val="990"/>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p>
        </w:tc>
        <w:tc>
          <w:tcPr>
            <w:tcW w:w="1701" w:type="dxa"/>
            <w:vAlign w:val="center"/>
            <w:textDirection w:val="lrTb"/>
            <w:noWrap w:val="false"/>
          </w:tcPr>
          <w:p>
            <w:pPr>
              <w:jc w:val="center"/>
              <w:rPr>
                <w:color w:val="000000"/>
                <w:sz w:val="24"/>
                <w:highlight w:val="none"/>
              </w:rPr>
            </w:pPr>
            <w:r>
              <w:rPr>
                <w:color w:val="000000"/>
                <w:sz w:val="24"/>
                <w:highlight w:val="none"/>
              </w:rPr>
              <w:t xml:space="preserve">代理费</w:t>
            </w:r>
            <w:r/>
          </w:p>
        </w:tc>
        <w:tc>
          <w:tcPr>
            <w:tcW w:w="7253" w:type="dxa"/>
            <w:vAlign w:val="center"/>
            <w:textDirection w:val="lrTb"/>
            <w:noWrap w:val="false"/>
          </w:tcPr>
          <w:p>
            <w:pPr>
              <w:jc w:val="left"/>
              <w:rPr>
                <w:color w:val="000000"/>
                <w:sz w:val="24"/>
                <w:highlight w:val="none"/>
              </w:rPr>
            </w:pPr>
            <w:r>
              <w:rPr>
                <w:color w:val="000000"/>
                <w:sz w:val="24"/>
                <w:highlight w:val="none"/>
              </w:rPr>
              <w:t xml:space="preserve">收费对象：</w:t>
            </w:r>
            <w:r/>
          </w:p>
          <w:p>
            <w:pPr>
              <w:jc w:val="left"/>
              <w:rPr>
                <w:color w:val="000000"/>
                <w:sz w:val="24"/>
                <w:highlight w:val="none"/>
              </w:rPr>
            </w:pPr>
            <w:r>
              <w:rPr>
                <w:color w:val="000000"/>
                <w:highlight w:val="none"/>
              </w:rPr>
              <w:t xml:space="preserve">□</w:t>
            </w:r>
            <w:r>
              <w:rPr>
                <w:color w:val="000000"/>
                <w:sz w:val="24"/>
                <w:highlight w:val="none"/>
              </w:rPr>
              <w:t xml:space="preserve">采购人</w:t>
            </w:r>
            <w:r/>
          </w:p>
          <w:p>
            <w:pPr>
              <w:jc w:val="left"/>
              <w:rPr>
                <w:color w:val="000000"/>
                <w:sz w:val="24"/>
                <w:highlight w:val="none"/>
              </w:rPr>
            </w:pPr>
            <w:r>
              <w:rPr>
                <w:rFonts w:hint="eastAsia"/>
                <w:color w:val="000000"/>
                <w:highlight w:val="none"/>
              </w:rPr>
              <w:t xml:space="preserve">☑</w:t>
            </w:r>
            <w:r>
              <w:rPr>
                <w:color w:val="000000"/>
                <w:sz w:val="24"/>
                <w:highlight w:val="none"/>
              </w:rPr>
              <w:t xml:space="preserve">成交供应商</w:t>
            </w:r>
            <w:r/>
          </w:p>
          <w:p>
            <w:pPr>
              <w:jc w:val="left"/>
              <w:rPr>
                <w:color w:val="000000"/>
                <w:sz w:val="24"/>
                <w:highlight w:val="none"/>
                <w:u w:val="single"/>
              </w:rPr>
            </w:pPr>
            <w:r>
              <w:rPr>
                <w:color w:val="000000"/>
                <w:sz w:val="24"/>
                <w:highlight w:val="none"/>
              </w:rPr>
              <w:t xml:space="preserve">收费标准：</w:t>
            </w:r>
            <w:r>
              <w:rPr>
                <w:rFonts w:hint="eastAsia" w:ascii="Times New Roman" w:hAnsi="Times New Roman" w:eastAsia="宋体" w:cs="Times New Roman"/>
                <w:color w:val="000000"/>
                <w:sz w:val="24"/>
                <w:highlight w:val="none"/>
                <w:u w:val="single"/>
                <w:lang w:val="en-US" w:eastAsia="zh-CN"/>
              </w:rPr>
              <w:t xml:space="preserve">按《上黄镇委托中介机构招标代理服务计费标准》收取执行</w:t>
            </w:r>
            <w:r>
              <w:rPr>
                <w:color w:val="000000"/>
                <w:sz w:val="24"/>
                <w:highlight w:val="none"/>
              </w:rPr>
              <w:t xml:space="preserve">；</w:t>
            </w:r>
            <w:r/>
          </w:p>
          <w:p>
            <w:pPr>
              <w:jc w:val="left"/>
              <w:rPr>
                <w:color w:val="000000"/>
                <w:sz w:val="24"/>
                <w:highlight w:val="none"/>
              </w:rPr>
            </w:pPr>
            <w:r>
              <w:rPr>
                <w:color w:val="000000"/>
                <w:sz w:val="24"/>
                <w:highlight w:val="none"/>
              </w:rPr>
              <w:t xml:space="preserve">缴纳时间：</w:t>
            </w:r>
            <w:r>
              <w:rPr>
                <w:rFonts w:hint="eastAsia"/>
                <w:color w:val="000000"/>
                <w:sz w:val="24"/>
                <w:highlight w:val="none"/>
                <w:u w:val="single"/>
                <w:lang w:eastAsia="zh-CN"/>
              </w:rPr>
              <w:t xml:space="preserve">在</w:t>
            </w:r>
            <w:r>
              <w:rPr>
                <w:rFonts w:hint="eastAsia"/>
                <w:color w:val="000000"/>
                <w:sz w:val="24"/>
                <w:highlight w:val="none"/>
                <w:u w:val="single"/>
                <w:lang w:val="en-US" w:eastAsia="en-US"/>
              </w:rPr>
              <w:t xml:space="preserve">领取</w:t>
            </w:r>
            <w:r>
              <w:rPr>
                <w:rFonts w:hint="eastAsia"/>
                <w:color w:val="000000"/>
                <w:sz w:val="24"/>
                <w:highlight w:val="none"/>
                <w:u w:val="single"/>
                <w:lang w:val="en-US" w:eastAsia="zh-CN"/>
              </w:rPr>
              <w:t xml:space="preserve">成交</w:t>
            </w:r>
            <w:r>
              <w:rPr>
                <w:rFonts w:hint="eastAsia"/>
                <w:color w:val="000000"/>
                <w:sz w:val="24"/>
                <w:highlight w:val="none"/>
                <w:u w:val="single"/>
                <w:lang w:val="en-US" w:eastAsia="en-US"/>
              </w:rPr>
              <w:t xml:space="preserve">通知书前一次性</w:t>
            </w:r>
            <w:r>
              <w:rPr>
                <w:rFonts w:hint="eastAsia"/>
                <w:color w:val="000000"/>
                <w:sz w:val="24"/>
                <w:highlight w:val="none"/>
                <w:u w:val="single"/>
                <w:lang w:val="en-US" w:eastAsia="zh-CN"/>
              </w:rPr>
              <w:t xml:space="preserve">向代理机构</w:t>
            </w:r>
            <w:r>
              <w:rPr>
                <w:rFonts w:hint="eastAsia"/>
                <w:color w:val="000000"/>
                <w:sz w:val="24"/>
                <w:highlight w:val="none"/>
                <w:u w:val="single"/>
                <w:lang w:val="en-US" w:eastAsia="en-US"/>
              </w:rPr>
              <w:t xml:space="preserve">缴纳</w:t>
            </w:r>
            <w:r>
              <w:rPr>
                <w:color w:val="000000"/>
                <w:sz w:val="24"/>
                <w:highlight w:val="none"/>
              </w:rPr>
              <w:t xml:space="preserve">。</w:t>
            </w:r>
            <w:r/>
          </w:p>
        </w:tc>
      </w:tr>
    </w:tbl>
    <w:p>
      <w:pPr>
        <w:jc w:val="both"/>
        <w:spacing w:line="360" w:lineRule="auto"/>
        <w:tabs>
          <w:tab w:val="left" w:pos="5580" w:leader="none"/>
        </w:tabs>
        <w:rPr>
          <w:color w:val="000000"/>
          <w:sz w:val="24"/>
          <w:highlight w:val="none"/>
        </w:rPr>
        <w:sectPr>
          <w:footerReference w:type="default" r:id="rId11"/>
          <w:footerReference w:type="first" r:id="rId12"/>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sz w:val="24"/>
          <w:highlight w:val="none"/>
        </w:rPr>
      </w:r>
      <w:r/>
    </w:p>
    <w:p>
      <w:pPr>
        <w:jc w:val="center"/>
        <w:spacing w:before="240" w:after="240"/>
        <w:rPr>
          <w:b/>
          <w:color w:val="000000"/>
          <w:sz w:val="28"/>
          <w:szCs w:val="28"/>
          <w:highlight w:val="none"/>
        </w:rPr>
      </w:pPr>
      <w:r>
        <w:rPr>
          <w:b/>
          <w:color w:val="000000"/>
          <w:sz w:val="28"/>
          <w:szCs w:val="28"/>
          <w:highlight w:val="none"/>
        </w:rPr>
        <w:t xml:space="preserve">供应商须知</w:t>
      </w:r>
      <w:r/>
    </w:p>
    <w:p>
      <w:pPr>
        <w:pStyle w:val="953"/>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2" w:name="_Toc520356143"/>
      <w:r/>
      <w:bookmarkStart w:id="73" w:name="_Toc127151518"/>
      <w:r>
        <w:rPr>
          <w:rFonts w:ascii="Times New Roman" w:hAnsi="Times New Roman" w:eastAsia="宋体"/>
          <w:color w:val="000000"/>
          <w:sz w:val="28"/>
          <w:highlight w:val="none"/>
        </w:rPr>
        <w:tab/>
      </w:r>
      <w:bookmarkStart w:id="74" w:name="_Toc265228356"/>
      <w:r/>
      <w:bookmarkStart w:id="75" w:name="_Toc151193760"/>
      <w:r/>
      <w:bookmarkStart w:id="76" w:name="_Toc150509269"/>
      <w:r/>
      <w:bookmarkStart w:id="77" w:name="_Toc264969208"/>
      <w:r/>
      <w:bookmarkStart w:id="78" w:name="_Toc150480756"/>
      <w:r/>
      <w:bookmarkStart w:id="79" w:name="_Toc151193832"/>
      <w:r/>
      <w:bookmarkStart w:id="80" w:name="_Toc226337214"/>
      <w:r/>
      <w:bookmarkStart w:id="81" w:name="_Toc305158786"/>
      <w:r/>
      <w:bookmarkStart w:id="82" w:name="_Toc150774723"/>
      <w:r/>
      <w:bookmarkStart w:id="83" w:name="_Toc226965791"/>
      <w:r/>
      <w:bookmarkStart w:id="84" w:name="_Toc305158860"/>
      <w:r/>
      <w:bookmarkStart w:id="85" w:name="_Toc195842883"/>
      <w:r/>
      <w:bookmarkStart w:id="86" w:name="_Toc151193616"/>
      <w:r/>
      <w:bookmarkStart w:id="87" w:name="_Toc142311020"/>
      <w:r/>
      <w:bookmarkStart w:id="88" w:name="_Toc150774618"/>
      <w:r/>
      <w:bookmarkStart w:id="89" w:name="_Toc226309762"/>
      <w:r/>
      <w:bookmarkStart w:id="90" w:name="_Toc151193688"/>
      <w:r/>
      <w:bookmarkStart w:id="91" w:name="_Toc151193906"/>
      <w:r/>
      <w:bookmarkStart w:id="92" w:name="_Toc151190145"/>
      <w:r/>
      <w:bookmarkStart w:id="93" w:name="_Toc226965708"/>
      <w:r>
        <w:rPr>
          <w:rFonts w:ascii="Times New Roman" w:hAnsi="Times New Roman" w:eastAsia="宋体"/>
          <w:color w:val="000000"/>
          <w:sz w:val="28"/>
          <w:highlight w:val="none"/>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color w:val="000000"/>
          <w:sz w:val="28"/>
          <w:highlight w:val="none"/>
        </w:rPr>
        <w:tab/>
      </w:r>
      <w:r/>
    </w:p>
    <w:p>
      <w:pPr>
        <w:numPr>
          <w:ilvl w:val="0"/>
          <w:numId w:val="8"/>
        </w:numPr>
        <w:ind w:left="357" w:hanging="357"/>
        <w:spacing w:line="360" w:lineRule="auto"/>
        <w:tabs>
          <w:tab w:val="left" w:pos="360" w:leader="none"/>
        </w:tabs>
        <w:rPr>
          <w:color w:val="000000"/>
          <w:sz w:val="24"/>
          <w:highlight w:val="none"/>
        </w:rPr>
        <w:outlineLvl w:val="1"/>
      </w:pPr>
      <w:r/>
      <w:bookmarkStart w:id="94" w:name="_Toc265228357"/>
      <w:r/>
      <w:bookmarkStart w:id="95" w:name="_Toc305158861"/>
      <w:r/>
      <w:bookmarkStart w:id="96" w:name="_Toc264969209"/>
      <w:r/>
      <w:bookmarkStart w:id="97" w:name="_Toc305158787"/>
      <w:r>
        <w:rPr>
          <w:color w:val="000000"/>
          <w:sz w:val="24"/>
          <w:highlight w:val="none"/>
        </w:rPr>
        <w:t xml:space="preserve">采购人、采购代理机构、供应商</w:t>
      </w:r>
      <w:bookmarkEnd w:id="94"/>
      <w:r/>
      <w:bookmarkEnd w:id="95"/>
      <w:r/>
      <w:bookmarkEnd w:id="96"/>
      <w:r/>
      <w:bookmarkEnd w:id="97"/>
      <w:r>
        <w:rPr>
          <w:color w:val="000000"/>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000000"/>
          <w:sz w:val="24"/>
          <w:highlight w:val="none"/>
        </w:rPr>
        <w:outlineLvl w:val="1"/>
      </w:pPr>
      <w:r/>
      <w:bookmarkStart w:id="98" w:name="_Toc151193618"/>
      <w:r/>
      <w:bookmarkStart w:id="99" w:name="_Toc226965710"/>
      <w:r/>
      <w:bookmarkStart w:id="100" w:name="_Toc164229215"/>
      <w:r/>
      <w:bookmarkStart w:id="101" w:name="_Toc127151721"/>
      <w:r/>
      <w:bookmarkStart w:id="102" w:name="_Toc127161434"/>
      <w:r/>
      <w:bookmarkStart w:id="103" w:name="_Toc195842885"/>
      <w:r/>
      <w:bookmarkStart w:id="104" w:name="_Toc164229361"/>
      <w:r/>
      <w:bookmarkStart w:id="105" w:name="_Toc151193834"/>
      <w:r/>
      <w:bookmarkStart w:id="106" w:name="_Toc305158788"/>
      <w:r/>
      <w:bookmarkStart w:id="107" w:name="_Toc164351614"/>
      <w:r/>
      <w:bookmarkStart w:id="108" w:name="_Toc150774725"/>
      <w:r/>
      <w:bookmarkStart w:id="109" w:name="_Toc226965793"/>
      <w:r/>
      <w:bookmarkStart w:id="110" w:name="_Toc164608789"/>
      <w:r/>
      <w:bookmarkStart w:id="111" w:name="_Toc127151520"/>
      <w:r/>
      <w:bookmarkStart w:id="112" w:name="_Toc150774620"/>
      <w:r/>
      <w:bookmarkStart w:id="113" w:name="_Toc264969210"/>
      <w:r/>
      <w:bookmarkStart w:id="114" w:name="_Toc150509271"/>
      <w:r/>
      <w:bookmarkStart w:id="115" w:name="_Toc150480758"/>
      <w:r/>
      <w:bookmarkStart w:id="116" w:name="_Toc226337216"/>
      <w:r/>
      <w:bookmarkStart w:id="117" w:name="_Toc265228358"/>
      <w:r/>
      <w:bookmarkStart w:id="118" w:name="_Toc151193690"/>
      <w:r/>
      <w:bookmarkStart w:id="119" w:name="_Toc164608634"/>
      <w:r/>
      <w:bookmarkStart w:id="120" w:name="_Toc305158862"/>
      <w:r/>
      <w:bookmarkStart w:id="121" w:name="_Toc226309764"/>
      <w:r/>
      <w:bookmarkStart w:id="122" w:name="_Toc151193908"/>
      <w:r/>
      <w:bookmarkStart w:id="123" w:name="_Toc149720813"/>
      <w:r/>
      <w:bookmarkStart w:id="124" w:name="_Toc142311022"/>
      <w:r/>
      <w:bookmarkStart w:id="125" w:name="_Toc151190147"/>
      <w:r/>
      <w:bookmarkStart w:id="126" w:name="_Toc151193762"/>
      <w:r>
        <w:rPr>
          <w:color w:val="000000"/>
          <w:sz w:val="24"/>
          <w:highlight w:val="none"/>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color w:val="000000"/>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color w:val="000000"/>
          <w:sz w:val="28"/>
          <w:highlight w:val="none"/>
        </w:rPr>
      </w:pPr>
      <w:r>
        <w:rPr>
          <w:color w:val="000000"/>
          <w:sz w:val="24"/>
          <w:highlight w:val="none"/>
        </w:rPr>
        <w:t xml:space="preserve">若《供应商须知资料表》中规定了组织现场考察、召开磋商前答疑会，则供应商应按要求在规定的时间和地点参加。</w:t>
      </w:r>
      <w:bookmarkStart w:id="127" w:name="_Toc264969212"/>
      <w:r/>
      <w:bookmarkStart w:id="128" w:name="_Toc150774622"/>
      <w:r/>
      <w:bookmarkStart w:id="129" w:name="_Toc520356146"/>
      <w:r/>
      <w:bookmarkStart w:id="130" w:name="_Toc305158790"/>
      <w:r/>
      <w:bookmarkStart w:id="131" w:name="_Toc226337218"/>
      <w:r/>
      <w:bookmarkStart w:id="132" w:name="_Toc142311024"/>
      <w:r/>
      <w:bookmarkStart w:id="133" w:name="_Toc151193910"/>
      <w:r/>
      <w:bookmarkStart w:id="134" w:name="_Toc226965712"/>
      <w:r/>
      <w:bookmarkStart w:id="135" w:name="_Toc226965795"/>
      <w:r/>
      <w:bookmarkStart w:id="136" w:name="_Toc226309766"/>
      <w:r/>
      <w:bookmarkStart w:id="137" w:name="_Toc151193692"/>
      <w:r/>
      <w:bookmarkStart w:id="138" w:name="_Toc151193620"/>
      <w:r/>
      <w:bookmarkStart w:id="139" w:name="_Toc151193836"/>
      <w:r/>
      <w:bookmarkStart w:id="140" w:name="_Toc305158864"/>
      <w:r/>
      <w:bookmarkStart w:id="141" w:name="_Toc265228360"/>
      <w:r/>
      <w:bookmarkStart w:id="142" w:name="_Toc151190149"/>
      <w:r/>
      <w:bookmarkStart w:id="143" w:name="_Toc151193764"/>
      <w:r/>
      <w:bookmarkStart w:id="144" w:name="_Toc150509273"/>
      <w:r/>
      <w:bookmarkStart w:id="145" w:name="_Toc150774727"/>
      <w:r/>
      <w:bookmarkStart w:id="146" w:name="_Toc195842887"/>
      <w:r/>
      <w:bookmarkStart w:id="147" w:name="_Toc150480760"/>
      <w:r/>
      <w:bookmarkStart w:id="148" w:name="_Toc127151522"/>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进口产品</w:t>
      </w:r>
      <w:r/>
    </w:p>
    <w:p>
      <w:pPr>
        <w:numPr>
          <w:ilvl w:val="2"/>
          <w:numId w:val="8"/>
        </w:numPr>
        <w:spacing w:line="360" w:lineRule="auto"/>
        <w:tabs>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中小企业、监狱企业及残疾人福利性单位</w:t>
      </w:r>
      <w:r/>
    </w:p>
    <w:p>
      <w:pPr>
        <w:numPr>
          <w:ilvl w:val="2"/>
          <w:numId w:val="8"/>
        </w:numPr>
        <w:spacing w:line="360" w:lineRule="auto"/>
        <w:rPr>
          <w:color w:val="000000"/>
          <w:sz w:val="24"/>
          <w:highlight w:val="none"/>
        </w:rPr>
      </w:pPr>
      <w:r>
        <w:rPr>
          <w:color w:val="000000"/>
          <w:sz w:val="24"/>
          <w:highlight w:val="none"/>
        </w:rPr>
        <w:t xml:space="preserve">中小企业定义：</w:t>
      </w:r>
      <w:r/>
    </w:p>
    <w:p>
      <w:pPr>
        <w:numPr>
          <w:ilvl w:val="3"/>
          <w:numId w:val="8"/>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供应商提供的货物、工程或者服务符合下列情形的，享受中小企业扶持政策：</w:t>
      </w:r>
      <w:r/>
    </w:p>
    <w:p>
      <w:pPr>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p>
    <w:p>
      <w:pPr>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（3）在服务采购项目中，服务由中小企业承接，即提供服务的人员为中小企业依照《中华人民共和国劳动合同法》订立劳动合同的从业人员。</w:t>
      </w:r>
      <w:r/>
    </w:p>
    <w:p>
      <w:pPr>
        <w:numPr>
          <w:ilvl w:val="3"/>
          <w:numId w:val="8"/>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p>
    <w:p>
      <w:pPr>
        <w:numPr>
          <w:ilvl w:val="3"/>
          <w:numId w:val="8"/>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color w:val="000000"/>
          <w:sz w:val="24"/>
          <w:highlight w:val="none"/>
        </w:rPr>
      </w:pPr>
      <w:r>
        <w:rPr>
          <w:color w:val="000000"/>
          <w:sz w:val="24"/>
          <w:highlight w:val="none"/>
        </w:rPr>
        <w:t xml:space="preserve">残疾人福利单位定义：享受政府采购支持政策的残疾人福利性单位应当同时满足以下条件：</w:t>
      </w:r>
      <w:r/>
    </w:p>
    <w:p>
      <w:pPr>
        <w:numPr>
          <w:ilvl w:val="3"/>
          <w:numId w:val="8"/>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p>
    <w:p>
      <w:pPr>
        <w:numPr>
          <w:ilvl w:val="3"/>
          <w:numId w:val="8"/>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依法与安置的每位残疾人签订了一年以上（含一年）的劳动合同或服务协议；</w:t>
      </w:r>
      <w:r/>
    </w:p>
    <w:p>
      <w:pPr>
        <w:numPr>
          <w:ilvl w:val="3"/>
          <w:numId w:val="8"/>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为安置的每位残疾人按月足额缴纳了基本养老保险、基本医疗保险、失业保险、工伤保险和生育保险等社会保险费；</w:t>
      </w:r>
      <w:r/>
    </w:p>
    <w:p>
      <w:pPr>
        <w:numPr>
          <w:ilvl w:val="3"/>
          <w:numId w:val="8"/>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通过银行等金融机构向安置的每位残疾人，按月支付了不低于单位所在区县适用的经省级人民政府批准的月最低工资标准的工资；</w:t>
      </w:r>
      <w:r/>
    </w:p>
    <w:p>
      <w:pPr>
        <w:numPr>
          <w:ilvl w:val="3"/>
          <w:numId w:val="8"/>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000000"/>
          <w:sz w:val="24"/>
          <w:highlight w:val="none"/>
        </w:rPr>
      </w:pPr>
      <w:r>
        <w:rPr>
          <w:color w:val="000000"/>
          <w:sz w:val="24"/>
          <w:highlight w:val="none"/>
        </w:rPr>
        <w:t xml:space="preserve">本项目是否专门面向中小企业预留采购份额见第一章《采购邀请》。</w:t>
      </w:r>
      <w:r/>
    </w:p>
    <w:p>
      <w:pPr>
        <w:numPr>
          <w:ilvl w:val="2"/>
          <w:numId w:val="8"/>
        </w:numPr>
        <w:spacing w:line="360" w:lineRule="auto"/>
        <w:rPr>
          <w:color w:val="000000"/>
          <w:sz w:val="24"/>
          <w:highlight w:val="none"/>
        </w:rPr>
      </w:pPr>
      <w:r>
        <w:rPr>
          <w:color w:val="000000"/>
          <w:sz w:val="24"/>
          <w:highlight w:val="none"/>
        </w:rPr>
        <w:t xml:space="preserve">采购标的对应的中小企业划分标准所属行业见《供应商须知资料表》。</w:t>
      </w:r>
      <w:r/>
    </w:p>
    <w:p>
      <w:pPr>
        <w:numPr>
          <w:ilvl w:val="2"/>
          <w:numId w:val="8"/>
        </w:numPr>
        <w:spacing w:line="360" w:lineRule="auto"/>
        <w:rPr>
          <w:color w:val="000000"/>
          <w:sz w:val="24"/>
          <w:highlight w:val="none"/>
        </w:rPr>
      </w:pPr>
      <w:r>
        <w:rPr>
          <w:color w:val="000000"/>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政府采购节能产品、环境标志产品</w:t>
      </w:r>
      <w:r/>
    </w:p>
    <w:p>
      <w:pPr>
        <w:numPr>
          <w:ilvl w:val="2"/>
          <w:numId w:val="8"/>
        </w:numPr>
        <w:spacing w:line="360" w:lineRule="auto"/>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color w:val="000000"/>
          <w:sz w:val="24"/>
          <w:highlight w:val="none"/>
        </w:rPr>
      </w:pP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color w:val="000000"/>
          <w:sz w:val="24"/>
          <w:highlight w:val="none"/>
        </w:rPr>
      </w:pPr>
      <w:r>
        <w:rPr>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b/>
          <w:color w:val="000000"/>
          <w:sz w:val="24"/>
          <w:highlight w:val="none"/>
        </w:rPr>
        <w:t xml:space="preserve">响应无效</w:t>
      </w:r>
      <w:r>
        <w:rPr>
          <w:color w:val="000000"/>
          <w:sz w:val="24"/>
          <w:highlight w:val="none"/>
        </w:rPr>
        <w:t xml:space="preserve">；</w:t>
      </w:r>
      <w:r/>
    </w:p>
    <w:p>
      <w:pPr>
        <w:numPr>
          <w:ilvl w:val="2"/>
          <w:numId w:val="8"/>
        </w:numPr>
        <w:spacing w:line="360" w:lineRule="auto"/>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支持乡村产业振兴管理</w:t>
      </w:r>
      <w:r/>
    </w:p>
    <w:p>
      <w:pPr>
        <w:numPr>
          <w:ilvl w:val="2"/>
          <w:numId w:val="8"/>
        </w:numPr>
        <w:spacing w:line="360" w:lineRule="auto"/>
        <w:tabs>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正版软件</w:t>
      </w:r>
      <w:r/>
    </w:p>
    <w:p>
      <w:pPr>
        <w:numPr>
          <w:ilvl w:val="2"/>
          <w:numId w:val="8"/>
        </w:numPr>
        <w:spacing w:line="360" w:lineRule="auto"/>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color w:val="000000"/>
          <w:sz w:val="24"/>
          <w:highlight w:val="none"/>
        </w:rPr>
        <w:t xml:space="preserve">响应无效</w:t>
      </w:r>
      <w:r>
        <w:rPr>
          <w:color w:val="000000"/>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信息安全产品</w:t>
      </w:r>
      <w:r/>
    </w:p>
    <w:p>
      <w:pPr>
        <w:numPr>
          <w:ilvl w:val="2"/>
          <w:numId w:val="8"/>
        </w:numPr>
        <w:spacing w:line="360" w:lineRule="auto"/>
        <w:tabs>
          <w:tab w:val="left" w:pos="2014" w:leader="none"/>
        </w:tabs>
        <w:rPr>
          <w:rFonts w:hint="eastAsia"/>
          <w:color w:val="000000"/>
          <w:sz w:val="24"/>
          <w:highlight w:val="none"/>
        </w:rPr>
      </w:pPr>
      <w:r>
        <w:rPr>
          <w:color w:val="000000"/>
          <w:sz w:val="24"/>
          <w:highlight w:val="none"/>
        </w:rPr>
        <w:t xml:space="preserve">所投产品属于《关于调整信息安全产品强制性认证实施要求的公告》（2009 年第33 号）范围的，采购经国家认证的信息安全产品，否则</w:t>
      </w:r>
      <w:r>
        <w:rPr>
          <w:b/>
          <w:color w:val="000000"/>
          <w:sz w:val="24"/>
          <w:highlight w:val="none"/>
        </w:rPr>
        <w:t xml:space="preserve">响应无效</w:t>
      </w:r>
      <w:r>
        <w:rPr>
          <w:color w:val="000000"/>
          <w:sz w:val="24"/>
          <w:highlight w:val="none"/>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p>
    <w:p>
      <w:pPr>
        <w:numPr>
          <w:ilvl w:val="2"/>
          <w:numId w:val="8"/>
        </w:numPr>
        <w:spacing w:line="360" w:lineRule="auto"/>
        <w:tabs>
          <w:tab w:val="left" w:pos="2014" w:leader="none"/>
        </w:tabs>
        <w:rPr>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color w:val="000000"/>
          <w:sz w:val="24"/>
          <w:highlight w:val="none"/>
        </w:rPr>
      </w:pPr>
      <w:r>
        <w:rPr>
          <w:rFonts w:hint="eastAsia"/>
          <w:color w:val="000000"/>
          <w:sz w:val="24"/>
          <w:highlight w:val="none"/>
          <w:lang w:val="en-US" w:eastAsia="zh-CN"/>
        </w:rPr>
        <w:t xml:space="preserve">4</w:t>
      </w:r>
      <w:r>
        <w:rPr>
          <w:rFonts w:hint="eastAsia"/>
          <w:color w:val="000000"/>
          <w:sz w:val="24"/>
          <w:highlight w:val="none"/>
        </w:rPr>
        <w:t xml:space="preserve">.8     绿色采购政策</w:t>
      </w:r>
      <w:r/>
    </w:p>
    <w:p>
      <w:pPr>
        <w:ind w:firstLine="1200"/>
        <w:spacing w:line="480" w:lineRule="exact"/>
        <w:rPr>
          <w:rFonts w:ascii="宋体" w:hAnsi="宋体"/>
          <w:b/>
          <w:color w:val="000000"/>
          <w:sz w:val="24"/>
          <w:highlight w:val="none"/>
        </w:rPr>
      </w:pPr>
      <w:r>
        <w:rPr>
          <w:rFonts w:hint="eastAsia"/>
          <w:color w:val="000000"/>
          <w:sz w:val="24"/>
          <w:highlight w:val="none"/>
          <w:lang w:val="en-US" w:eastAsia="zh-CN"/>
        </w:rPr>
        <w:t xml:space="preserve">4</w:t>
      </w:r>
      <w:r>
        <w:rPr>
          <w:rFonts w:hint="eastAsia"/>
          <w:color w:val="000000"/>
          <w:sz w:val="24"/>
          <w:highlight w:val="none"/>
        </w:rPr>
        <w:t xml:space="preserve">.8.1  </w:t>
      </w:r>
      <w:r>
        <w:rPr>
          <w:rFonts w:hint="eastAsia" w:ascii="宋体" w:hAnsi="宋体"/>
          <w:b/>
          <w:color w:val="000000"/>
          <w:sz w:val="24"/>
          <w:highlight w:val="none"/>
        </w:rPr>
        <w:t xml:space="preserve">绿色数据中心政策 </w:t>
      </w:r>
      <w:r/>
    </w:p>
    <w:p>
      <w:pPr>
        <w:ind w:left="1197"/>
        <w:spacing w:line="480" w:lineRule="exact"/>
        <w:rPr>
          <w:rFonts w:ascii="宋体" w:hAnsi="宋体"/>
          <w:color w:val="000000"/>
          <w:sz w:val="24"/>
          <w:highlight w:val="none"/>
        </w:rPr>
      </w:pPr>
      <w:r>
        <w:rPr>
          <w:rFonts w:hint="eastAsia" w:ascii="宋体" w:hAnsi="宋体"/>
          <w:color w:val="000000"/>
          <w:sz w:val="24"/>
          <w:highlight w:val="none"/>
        </w:rPr>
        <w:t xml:space="preserve">依据《绿色数据中心政府采购需求标准（试行）》（财办库〔2023〕7 号）文件精神，采购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.8.2 推广应用绿色建材</w:t>
      </w:r>
      <w:r/>
    </w:p>
    <w:p>
      <w:pPr>
        <w:ind w:left="1197"/>
        <w:spacing w:line="480" w:lineRule="exact"/>
        <w:rPr>
          <w:rFonts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w:t>
      </w:r>
      <w:r>
        <w:rPr>
          <w:rFonts w:hint="eastAsia"/>
          <w:color w:val="000000"/>
          <w:sz w:val="24"/>
          <w:highlight w:val="none"/>
        </w:rPr>
        <w:t xml:space="preserve">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p>
    <w:p>
      <w:pPr>
        <w:ind w:firstLine="1080"/>
        <w:spacing w:line="480" w:lineRule="exact"/>
        <w:rPr>
          <w:rFonts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.8.3 优先使用低挥发性有机化合物产品</w:t>
      </w:r>
      <w:r/>
    </w:p>
    <w:p>
      <w:pPr>
        <w:ind w:left="1197"/>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响应费用</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000000"/>
          <w:sz w:val="28"/>
          <w:highlight w:val="none"/>
        </w:rPr>
      </w:pPr>
      <w:r/>
      <w:bookmarkStart w:id="149" w:name="_1.8_计量单位"/>
      <w:r/>
      <w:bookmarkEnd w:id="149"/>
      <w:r/>
      <w:r/>
    </w:p>
    <w:p>
      <w:pPr>
        <w:pStyle w:val="953"/>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numPr>
          <w:ilvl w:val="0"/>
          <w:numId w:val="8"/>
        </w:numPr>
        <w:ind w:left="357" w:hanging="357"/>
        <w:spacing w:line="360" w:lineRule="auto"/>
        <w:tabs>
          <w:tab w:val="left" w:pos="360" w:leader="none"/>
        </w:tabs>
        <w:rPr>
          <w:color w:val="000000"/>
          <w:sz w:val="24"/>
          <w:highlight w:val="none"/>
        </w:rPr>
        <w:outlineLvl w:val="1"/>
      </w:pPr>
      <w:r/>
      <w:bookmarkStart w:id="150" w:name="_Toc226965713"/>
      <w:r/>
      <w:bookmarkStart w:id="151" w:name="_Toc127151724"/>
      <w:r/>
      <w:bookmarkStart w:id="152" w:name="_Toc151193911"/>
      <w:r/>
      <w:bookmarkStart w:id="153" w:name="_Toc226965796"/>
      <w:r/>
      <w:bookmarkStart w:id="154" w:name="_Toc264969213"/>
      <w:r/>
      <w:bookmarkStart w:id="155" w:name="_Toc164608637"/>
      <w:r/>
      <w:bookmarkStart w:id="156" w:name="_Toc226309767"/>
      <w:r/>
      <w:bookmarkStart w:id="157" w:name="_Toc142311025"/>
      <w:r/>
      <w:bookmarkStart w:id="158" w:name="_Toc520356147"/>
      <w:r/>
      <w:bookmarkStart w:id="159" w:name="_Toc305158865"/>
      <w:r/>
      <w:bookmarkStart w:id="160" w:name="_Toc151193621"/>
      <w:r/>
      <w:bookmarkStart w:id="161" w:name="_Toc164351617"/>
      <w:r/>
      <w:bookmarkStart w:id="162" w:name="_Toc150509274"/>
      <w:r/>
      <w:bookmarkStart w:id="163" w:name="_Toc151193765"/>
      <w:r/>
      <w:bookmarkStart w:id="164" w:name="_Toc195842888"/>
      <w:r/>
      <w:bookmarkStart w:id="165" w:name="_Toc149720816"/>
      <w:r/>
      <w:bookmarkStart w:id="166" w:name="_Toc151190150"/>
      <w:r/>
      <w:bookmarkStart w:id="167" w:name="_Toc127151523"/>
      <w:r/>
      <w:bookmarkStart w:id="168" w:name="_Toc164608792"/>
      <w:r/>
      <w:bookmarkStart w:id="169" w:name="_Toc164229218"/>
      <w:r/>
      <w:bookmarkStart w:id="170" w:name="_Toc151193837"/>
      <w:r/>
      <w:bookmarkStart w:id="171" w:name="_Toc305158791"/>
      <w:r/>
      <w:bookmarkStart w:id="172" w:name="_Toc150774623"/>
      <w:r/>
      <w:bookmarkStart w:id="173" w:name="_Toc150774728"/>
      <w:r/>
      <w:bookmarkStart w:id="174" w:name="_Toc151193693"/>
      <w:r/>
      <w:bookmarkStart w:id="175" w:name="_Toc265228361"/>
      <w:r/>
      <w:bookmarkStart w:id="176" w:name="_Toc127161437"/>
      <w:r/>
      <w:bookmarkStart w:id="177" w:name="_Toc226337219"/>
      <w:r/>
      <w:bookmarkStart w:id="178" w:name="_Toc164229364"/>
      <w:r/>
      <w:bookmarkStart w:id="179" w:name="_Toc150480761"/>
      <w:r>
        <w:rPr>
          <w:color w:val="000000"/>
          <w:sz w:val="24"/>
          <w:highlight w:val="none"/>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color w:val="000000"/>
          <w:sz w:val="24"/>
          <w:highlight w:val="none"/>
        </w:rPr>
        <w:t xml:space="preserve">成</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竞争性磋商文件包括以下部分：</w:t>
      </w:r>
      <w:r/>
    </w:p>
    <w:p>
      <w:pPr>
        <w:numPr>
          <w:ilvl w:val="0"/>
          <w:numId w:val="9"/>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采购邀请</w:t>
      </w:r>
      <w:r/>
    </w:p>
    <w:p>
      <w:pPr>
        <w:numPr>
          <w:ilvl w:val="0"/>
          <w:numId w:val="9"/>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供应商须知</w:t>
      </w:r>
      <w:r/>
    </w:p>
    <w:p>
      <w:pPr>
        <w:numPr>
          <w:ilvl w:val="0"/>
          <w:numId w:val="9"/>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评审</w:t>
      </w:r>
      <w:r>
        <w:rPr>
          <w:rFonts w:hint="eastAsia"/>
          <w:color w:val="000000"/>
          <w:sz w:val="24"/>
          <w:highlight w:val="none"/>
        </w:rPr>
        <w:t xml:space="preserve">程序、评审</w:t>
      </w:r>
      <w:r>
        <w:rPr>
          <w:color w:val="000000"/>
          <w:sz w:val="24"/>
          <w:highlight w:val="none"/>
        </w:rPr>
        <w:t xml:space="preserve">方法和评审标准</w:t>
      </w:r>
      <w:r/>
    </w:p>
    <w:p>
      <w:pPr>
        <w:numPr>
          <w:ilvl w:val="0"/>
          <w:numId w:val="9"/>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采购需求</w:t>
      </w:r>
      <w:r/>
    </w:p>
    <w:p>
      <w:pPr>
        <w:numPr>
          <w:ilvl w:val="0"/>
          <w:numId w:val="9"/>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合同草案条款</w:t>
      </w:r>
      <w:r/>
    </w:p>
    <w:p>
      <w:pPr>
        <w:numPr>
          <w:ilvl w:val="0"/>
          <w:numId w:val="9"/>
        </w:numPr>
        <w:ind w:left="1440" w:firstLine="5"/>
        <w:spacing w:line="360" w:lineRule="auto"/>
        <w:tabs>
          <w:tab w:val="left" w:pos="1980" w:leader="none"/>
          <w:tab w:val="left" w:pos="2520" w:leader="none"/>
        </w:tabs>
        <w:rPr>
          <w:color w:val="000000"/>
          <w:sz w:val="24"/>
          <w:highlight w:val="none"/>
        </w:rPr>
      </w:pPr>
      <w:r>
        <w:rPr>
          <w:color w:val="000000"/>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highlight w:val="none"/>
        </w:rPr>
        <w:t xml:space="preserve">响应无效</w:t>
      </w:r>
      <w:r>
        <w:rPr>
          <w:color w:val="000000"/>
          <w:sz w:val="24"/>
          <w:highlight w:val="none"/>
        </w:rPr>
        <w:t xml:space="preserve">。</w:t>
      </w:r>
      <w:r/>
    </w:p>
    <w:p>
      <w:pPr>
        <w:numPr>
          <w:ilvl w:val="0"/>
          <w:numId w:val="8"/>
        </w:numPr>
        <w:ind w:left="357" w:hanging="357"/>
        <w:spacing w:line="360" w:lineRule="auto"/>
        <w:tabs>
          <w:tab w:val="left" w:pos="1080" w:leader="none"/>
          <w:tab w:val="left" w:pos="2014" w:leader="none"/>
        </w:tabs>
        <w:rPr>
          <w:color w:val="000000"/>
          <w:sz w:val="24"/>
          <w:highlight w:val="none"/>
        </w:rPr>
        <w:outlineLvl w:val="1"/>
      </w:pPr>
      <w:r>
        <w:rPr>
          <w:color w:val="000000"/>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采购人或采购代理机构对已发出的竞争性磋商文件进行必要澄清或者修改的，将在原公告发布媒体上以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w:t>
      </w:r>
      <w:r>
        <w:rPr>
          <w:rFonts w:hint="eastAsia"/>
          <w:color w:val="000000"/>
          <w:sz w:val="24"/>
          <w:highlight w:val="none"/>
        </w:rPr>
        <w:t xml:space="preserve">磋商文件</w:t>
      </w:r>
      <w:r>
        <w:rPr>
          <w:color w:val="000000"/>
          <w:sz w:val="24"/>
          <w:highlight w:val="none"/>
        </w:rPr>
        <w:t xml:space="preserve">的</w:t>
      </w:r>
      <w:r>
        <w:rPr>
          <w:rFonts w:hint="eastAsia"/>
          <w:color w:val="000000"/>
          <w:sz w:val="24"/>
          <w:highlight w:val="none"/>
        </w:rPr>
        <w:t xml:space="preserve">供应商。</w:t>
      </w:r>
      <w:r/>
    </w:p>
    <w:p>
      <w:pPr>
        <w:numPr>
          <w:ilvl w:val="1"/>
          <w:numId w:val="8"/>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highlight w:val="none"/>
        </w:rPr>
        <w:t xml:space="preserve">5</w:t>
      </w:r>
      <w:r>
        <w:rPr>
          <w:color w:val="000000"/>
          <w:sz w:val="24"/>
          <w:highlight w:val="none"/>
        </w:rPr>
        <w:t xml:space="preserve">日前</w:t>
      </w:r>
      <w:r>
        <w:rPr>
          <w:rFonts w:hint="eastAsia"/>
          <w:color w:val="000000"/>
          <w:sz w:val="24"/>
          <w:highlight w:val="none"/>
        </w:rPr>
        <w:t xml:space="preserve">，</w:t>
      </w:r>
      <w:r>
        <w:rPr>
          <w:color w:val="000000"/>
          <w:sz w:val="24"/>
          <w:highlight w:val="none"/>
        </w:rPr>
        <w:t xml:space="preserve">以更正公告形式通知所有获取</w:t>
      </w:r>
      <w:r>
        <w:rPr>
          <w:rFonts w:hint="eastAsia"/>
          <w:color w:val="000000"/>
          <w:sz w:val="24"/>
          <w:highlight w:val="none"/>
        </w:rPr>
        <w:t xml:space="preserve">磋商</w:t>
      </w:r>
      <w:r>
        <w:rPr>
          <w:color w:val="000000"/>
          <w:sz w:val="24"/>
          <w:highlight w:val="none"/>
        </w:rPr>
        <w:t xml:space="preserve">文件的潜在供应商；不足上述时间的，将顺延提交响应文件的截止时间。</w:t>
      </w:r>
      <w:r/>
    </w:p>
    <w:p>
      <w:pPr>
        <w:ind w:left="1080"/>
        <w:spacing w:line="360" w:lineRule="auto"/>
        <w:tabs>
          <w:tab w:val="left" w:pos="1080" w:leader="none"/>
          <w:tab w:val="left" w:pos="1561" w:leader="none"/>
        </w:tabs>
        <w:rPr>
          <w:color w:val="000000"/>
          <w:sz w:val="28"/>
          <w:highlight w:val="none"/>
        </w:rPr>
      </w:pPr>
      <w:r/>
      <w:bookmarkStart w:id="180" w:name="_Toc516367020"/>
      <w:r/>
      <w:bookmarkStart w:id="181" w:name="_Toc226965716"/>
      <w:r/>
      <w:bookmarkStart w:id="182" w:name="_Toc150774731"/>
      <w:r/>
      <w:bookmarkStart w:id="183" w:name="_Toc151193914"/>
      <w:r/>
      <w:bookmarkStart w:id="184" w:name="_Toc151193624"/>
      <w:r/>
      <w:bookmarkStart w:id="185" w:name="_Toc151190153"/>
      <w:r/>
      <w:bookmarkStart w:id="186" w:name="_Toc151193696"/>
      <w:r/>
      <w:bookmarkStart w:id="187" w:name="_Toc127151526"/>
      <w:r/>
      <w:bookmarkStart w:id="188" w:name="_Toc226309770"/>
      <w:r/>
      <w:bookmarkStart w:id="189" w:name="_Toc150480764"/>
      <w:r/>
      <w:bookmarkStart w:id="190" w:name="_Toc520356150"/>
      <w:r/>
      <w:bookmarkStart w:id="191" w:name="_Toc150509277"/>
      <w:r/>
      <w:bookmarkStart w:id="192" w:name="_Toc142311028"/>
      <w:r/>
      <w:bookmarkStart w:id="193" w:name="_Toc151193768"/>
      <w:r/>
      <w:bookmarkStart w:id="194" w:name="_Toc151193840"/>
      <w:r/>
      <w:bookmarkStart w:id="195" w:name="_Toc265228364"/>
      <w:r/>
      <w:bookmarkStart w:id="196" w:name="_Toc305158868"/>
      <w:r/>
      <w:bookmarkStart w:id="197" w:name="_Toc226965799"/>
      <w:r/>
      <w:bookmarkStart w:id="198" w:name="_Toc264969216"/>
      <w:r/>
      <w:bookmarkStart w:id="199" w:name="_Toc226337222"/>
      <w:r/>
      <w:bookmarkStart w:id="200" w:name="_Toc150774626"/>
      <w:r/>
      <w:bookmarkStart w:id="201" w:name="_Toc195842891"/>
      <w:r/>
      <w:bookmarkStart w:id="202" w:name="_Toc305158794"/>
      <w:r/>
      <w:r/>
    </w:p>
    <w:p>
      <w:pPr>
        <w:pStyle w:val="953"/>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响应文件</w:t>
      </w:r>
      <w:bookmarkEnd w:id="180"/>
      <w:r>
        <w:rPr>
          <w:rFonts w:ascii="Times New Roman" w:hAnsi="Times New Roman" w:eastAsia="宋体"/>
          <w:color w:val="000000"/>
          <w:sz w:val="28"/>
          <w:highlight w:val="none"/>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8"/>
        </w:numPr>
        <w:ind w:left="357" w:hanging="357"/>
        <w:spacing w:line="360" w:lineRule="auto"/>
        <w:tabs>
          <w:tab w:val="left" w:pos="360" w:leader="none"/>
        </w:tabs>
        <w:rPr>
          <w:color w:val="000000"/>
          <w:sz w:val="24"/>
          <w:highlight w:val="none"/>
        </w:rPr>
        <w:outlineLvl w:val="1"/>
      </w:pPr>
      <w:r/>
      <w:bookmarkStart w:id="203" w:name="_Toc305158795"/>
      <w:r/>
      <w:bookmarkStart w:id="204" w:name="_Toc164229368"/>
      <w:r/>
      <w:bookmarkStart w:id="205" w:name="_Toc150774627"/>
      <w:r/>
      <w:bookmarkStart w:id="206" w:name="_Toc150509278"/>
      <w:r/>
      <w:bookmarkStart w:id="207" w:name="_Toc127161441"/>
      <w:r/>
      <w:bookmarkStart w:id="208" w:name="_Toc226309771"/>
      <w:r/>
      <w:bookmarkStart w:id="209" w:name="_Toc151193841"/>
      <w:r/>
      <w:bookmarkStart w:id="210" w:name="_Toc226965717"/>
      <w:r/>
      <w:bookmarkStart w:id="211" w:name="_Toc226965800"/>
      <w:r/>
      <w:bookmarkStart w:id="212" w:name="_Toc305158869"/>
      <w:r/>
      <w:bookmarkStart w:id="213" w:name="_Toc127151728"/>
      <w:r/>
      <w:bookmarkStart w:id="214" w:name="_Toc265228365"/>
      <w:r/>
      <w:bookmarkStart w:id="215" w:name="_Toc226337223"/>
      <w:r/>
      <w:bookmarkStart w:id="216" w:name="_Toc150774732"/>
      <w:r/>
      <w:bookmarkStart w:id="217" w:name="_Toc264969217"/>
      <w:r/>
      <w:bookmarkStart w:id="218" w:name="_Toc149720820"/>
      <w:r/>
      <w:bookmarkStart w:id="219" w:name="_Toc151193769"/>
      <w:r/>
      <w:bookmarkStart w:id="220" w:name="_Toc164351621"/>
      <w:r/>
      <w:bookmarkStart w:id="221" w:name="_Toc164229222"/>
      <w:r/>
      <w:bookmarkStart w:id="222" w:name="_Toc164608796"/>
      <w:r/>
      <w:bookmarkStart w:id="223" w:name="_Toc127151527"/>
      <w:r/>
      <w:bookmarkStart w:id="224" w:name="_Toc164608641"/>
      <w:r/>
      <w:bookmarkStart w:id="225" w:name="_Toc195842892"/>
      <w:r/>
      <w:bookmarkStart w:id="226" w:name="_Toc516367021"/>
      <w:r/>
      <w:bookmarkStart w:id="227" w:name="_Toc151190154"/>
      <w:r/>
      <w:bookmarkStart w:id="228" w:name="_Toc151193915"/>
      <w:r/>
      <w:bookmarkStart w:id="229" w:name="_Toc142311029"/>
      <w:r/>
      <w:bookmarkStart w:id="230" w:name="_Toc151193697"/>
      <w:r/>
      <w:bookmarkStart w:id="231" w:name="_Toc520356151"/>
      <w:r/>
      <w:bookmarkStart w:id="232" w:name="_Toc151193625"/>
      <w:r/>
      <w:bookmarkStart w:id="233" w:name="_Toc150480765"/>
      <w:r>
        <w:rPr>
          <w:color w:val="000000"/>
          <w:sz w:val="24"/>
          <w:highlight w:val="none"/>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color w:val="000000"/>
          <w:sz w:val="24"/>
          <w:highlight w:val="none"/>
        </w:rPr>
        <w:t xml:space="preserve">及磋商语言</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highlight w:val="none"/>
        </w:rPr>
        <w:t xml:space="preserve">响应无效</w:t>
      </w:r>
      <w:r>
        <w:rPr>
          <w:color w:val="000000"/>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color w:val="000000"/>
          <w:sz w:val="24"/>
          <w:highlight w:val="none"/>
        </w:rPr>
        <w:outlineLvl w:val="1"/>
      </w:pPr>
      <w:r/>
      <w:bookmarkStart w:id="234" w:name="_Ref467306195"/>
      <w:r/>
      <w:bookmarkStart w:id="235" w:name="_Ref467306676"/>
      <w:r/>
      <w:bookmarkStart w:id="236" w:name="_Toc516367022"/>
      <w:r/>
      <w:bookmarkStart w:id="237" w:name="_Toc150774628"/>
      <w:r/>
      <w:bookmarkStart w:id="238" w:name="_Toc151193626"/>
      <w:r/>
      <w:bookmarkStart w:id="239" w:name="_Toc151193770"/>
      <w:r/>
      <w:bookmarkStart w:id="240" w:name="_Toc195842893"/>
      <w:r/>
      <w:bookmarkStart w:id="241" w:name="_Toc164351622"/>
      <w:r/>
      <w:bookmarkStart w:id="242" w:name="_Toc265228366"/>
      <w:r/>
      <w:bookmarkStart w:id="243" w:name="_Toc142311030"/>
      <w:r/>
      <w:bookmarkStart w:id="244" w:name="_Toc164608797"/>
      <w:r/>
      <w:bookmarkStart w:id="245" w:name="_Toc226337224"/>
      <w:r/>
      <w:bookmarkStart w:id="246" w:name="_Toc151190155"/>
      <w:r/>
      <w:bookmarkStart w:id="247" w:name="_Toc149720821"/>
      <w:r/>
      <w:bookmarkStart w:id="248" w:name="_Toc150774733"/>
      <w:r/>
      <w:bookmarkStart w:id="249" w:name="_Toc127161442"/>
      <w:r/>
      <w:bookmarkStart w:id="250" w:name="_Toc150509279"/>
      <w:r/>
      <w:bookmarkStart w:id="251" w:name="_Toc226965718"/>
      <w:r/>
      <w:bookmarkStart w:id="252" w:name="_Toc264969218"/>
      <w:r/>
      <w:bookmarkStart w:id="253" w:name="_Toc164229223"/>
      <w:r/>
      <w:bookmarkStart w:id="254" w:name="_Toc520356152"/>
      <w:r/>
      <w:bookmarkStart w:id="255" w:name="_Toc226309772"/>
      <w:r/>
      <w:bookmarkStart w:id="256" w:name="_Toc305158796"/>
      <w:r/>
      <w:bookmarkStart w:id="257" w:name="_Toc151193842"/>
      <w:r/>
      <w:bookmarkStart w:id="258" w:name="_Toc226965801"/>
      <w:r/>
      <w:bookmarkStart w:id="259" w:name="_Toc164608642"/>
      <w:r/>
      <w:bookmarkStart w:id="260" w:name="_Toc127151729"/>
      <w:r/>
      <w:bookmarkStart w:id="261" w:name="_Toc305158870"/>
      <w:r/>
      <w:bookmarkStart w:id="262" w:name="_Toc151193698"/>
      <w:r/>
      <w:bookmarkStart w:id="263" w:name="_Toc150480766"/>
      <w:r/>
      <w:bookmarkStart w:id="264" w:name="_Toc164229369"/>
      <w:r/>
      <w:bookmarkStart w:id="265" w:name="_Toc151193916"/>
      <w:r/>
      <w:bookmarkStart w:id="266" w:name="_Toc127151528"/>
      <w:r>
        <w:rPr>
          <w:color w:val="000000"/>
          <w:sz w:val="24"/>
          <w:highlight w:val="none"/>
        </w:rPr>
        <w:t xml:space="preserve">响应文件</w:t>
      </w:r>
      <w:bookmarkEnd w:id="234"/>
      <w:r/>
      <w:bookmarkEnd w:id="235"/>
      <w:r/>
      <w:bookmarkEnd w:id="236"/>
      <w:r>
        <w:rPr>
          <w:color w:val="000000"/>
          <w:sz w:val="24"/>
          <w:highlight w:val="none"/>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8"/>
        </w:numPr>
        <w:ind w:left="1077" w:hanging="720"/>
        <w:spacing w:line="360" w:lineRule="auto"/>
        <w:tabs>
          <w:tab w:val="left" w:pos="1080" w:leader="none"/>
          <w:tab w:val="left" w:pos="2014" w:leader="none"/>
        </w:tabs>
        <w:rPr>
          <w:color w:val="000000"/>
          <w:sz w:val="24"/>
          <w:highlight w:val="none"/>
        </w:rPr>
      </w:pPr>
      <w:r/>
      <w:bookmarkStart w:id="267" w:name="_Ref467052588"/>
      <w:r>
        <w:rPr>
          <w:color w:val="000000"/>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供应商认为应附的其他材料。</w:t>
      </w:r>
      <w:bookmarkEnd w:id="267"/>
      <w:r/>
      <w:r/>
    </w:p>
    <w:p>
      <w:pPr>
        <w:numPr>
          <w:ilvl w:val="0"/>
          <w:numId w:val="8"/>
        </w:numPr>
        <w:ind w:left="357" w:hanging="357"/>
        <w:spacing w:line="360" w:lineRule="auto"/>
        <w:tabs>
          <w:tab w:val="left" w:pos="360" w:leader="none"/>
        </w:tabs>
        <w:rPr>
          <w:color w:val="000000"/>
          <w:sz w:val="24"/>
          <w:highlight w:val="none"/>
        </w:rPr>
        <w:outlineLvl w:val="1"/>
      </w:pPr>
      <w:r/>
      <w:bookmarkStart w:id="268" w:name="_Toc195842895"/>
      <w:r/>
      <w:bookmarkStart w:id="269" w:name="_Toc150774630"/>
      <w:r/>
      <w:bookmarkStart w:id="270" w:name="_Toc164351624"/>
      <w:r/>
      <w:bookmarkStart w:id="271" w:name="_Toc150774735"/>
      <w:r/>
      <w:bookmarkStart w:id="272" w:name="_Toc127151731"/>
      <w:r/>
      <w:bookmarkStart w:id="273" w:name="_Toc151193918"/>
      <w:r/>
      <w:bookmarkStart w:id="274" w:name="_Toc127151530"/>
      <w:r/>
      <w:bookmarkStart w:id="275" w:name="_Toc151193844"/>
      <w:r/>
      <w:bookmarkStart w:id="276" w:name="_Toc150509281"/>
      <w:r/>
      <w:bookmarkStart w:id="277" w:name="_Toc164229225"/>
      <w:r/>
      <w:bookmarkStart w:id="278" w:name="_Toc150480768"/>
      <w:r/>
      <w:bookmarkStart w:id="279" w:name="_Toc151193772"/>
      <w:r/>
      <w:bookmarkStart w:id="280" w:name="_Toc142311032"/>
      <w:r/>
      <w:bookmarkStart w:id="281" w:name="_Toc151193700"/>
      <w:r/>
      <w:bookmarkStart w:id="282" w:name="_Toc164608644"/>
      <w:r/>
      <w:bookmarkStart w:id="283" w:name="_Toc151190157"/>
      <w:r/>
      <w:bookmarkStart w:id="284" w:name="_Toc164229371"/>
      <w:r/>
      <w:bookmarkStart w:id="285" w:name="_Toc164608799"/>
      <w:r/>
      <w:bookmarkStart w:id="286" w:name="_Toc127161444"/>
      <w:r/>
      <w:bookmarkStart w:id="287" w:name="_Toc520356155"/>
      <w:r/>
      <w:bookmarkStart w:id="288" w:name="_Toc149720823"/>
      <w:r/>
      <w:bookmarkStart w:id="289" w:name="_Toc151193628"/>
      <w:r>
        <w:rPr>
          <w:color w:val="000000"/>
          <w:sz w:val="24"/>
          <w:highlight w:val="none"/>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所有响应均以人民币报价。</w:t>
      </w:r>
      <w:r/>
    </w:p>
    <w:p>
      <w:pPr>
        <w:numPr>
          <w:ilvl w:val="1"/>
          <w:numId w:val="8"/>
        </w:numPr>
        <w:spacing w:line="360" w:lineRule="auto"/>
        <w:tabs>
          <w:tab w:val="left" w:pos="1080" w:leader="none"/>
        </w:tabs>
        <w:rPr>
          <w:color w:val="000000"/>
          <w:sz w:val="24"/>
          <w:highlight w:val="none"/>
        </w:rPr>
      </w:pPr>
      <w:r>
        <w:rPr>
          <w:color w:val="000000"/>
          <w:sz w:val="24"/>
          <w:highlight w:val="none"/>
        </w:rPr>
        <w:t xml:space="preserve">供应商的报价应包括为完成本项目所发生的一切费用和税费，采购人将不再支付报价以外的任何费用。</w:t>
      </w:r>
      <w:r>
        <w:rPr>
          <w:rFonts w:hint="eastAsia"/>
          <w:color w:val="000000"/>
          <w:sz w:val="24"/>
          <w:highlight w:val="none"/>
        </w:rPr>
        <w:t xml:space="preserve">供应商的报价应包括但不限于下列内容，《供应商须知资料表》中有特殊规定的，从其规定。</w:t>
      </w:r>
      <w:r/>
    </w:p>
    <w:p>
      <w:pPr>
        <w:numPr>
          <w:ilvl w:val="2"/>
          <w:numId w:val="8"/>
        </w:numPr>
        <w:spacing w:line="360" w:lineRule="auto"/>
        <w:rPr>
          <w:color w:val="000000"/>
          <w:sz w:val="24"/>
          <w:highlight w:val="none"/>
        </w:rPr>
      </w:pPr>
      <w:r>
        <w:rPr>
          <w:color w:val="000000"/>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color w:val="000000"/>
          <w:sz w:val="24"/>
          <w:highlight w:val="none"/>
        </w:rPr>
      </w:pPr>
      <w:r>
        <w:rPr>
          <w:color w:val="000000"/>
          <w:sz w:val="24"/>
          <w:highlight w:val="none"/>
        </w:rPr>
        <w:t xml:space="preserve">按照竞争性磋商文件要求完成本项</w:t>
      </w:r>
      <w:r>
        <w:rPr>
          <w:rFonts w:hint="eastAsia"/>
          <w:color w:val="000000"/>
          <w:sz w:val="24"/>
          <w:highlight w:val="none"/>
        </w:rPr>
        <w:t xml:space="preserve">目的全部相关工程或服务费用。</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供应商不能提供任何有选择性或可调整的最终报价（竞争性磋商文件另有规定的除外），否则其</w:t>
      </w:r>
      <w:r>
        <w:rPr>
          <w:b/>
          <w:color w:val="000000"/>
          <w:sz w:val="24"/>
          <w:highlight w:val="none"/>
        </w:rPr>
        <w:t xml:space="preserve">响应无效</w:t>
      </w:r>
      <w:r>
        <w:rPr>
          <w:color w:val="000000"/>
          <w:sz w:val="24"/>
          <w:highlight w:val="none"/>
        </w:rPr>
        <w:t xml:space="preserve">。</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磋商保证金</w:t>
      </w:r>
      <w:r/>
    </w:p>
    <w:p>
      <w:pPr>
        <w:ind w:firstLine="360"/>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响应有效期</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响应文件应在本竞争性磋商文件《供应商须知资料表》中规定的响应有效期内保持有效，响应有效期少于竞争性磋商文件规定期限的，其</w:t>
      </w:r>
      <w:r>
        <w:rPr>
          <w:b/>
          <w:color w:val="000000"/>
          <w:sz w:val="24"/>
          <w:highlight w:val="none"/>
        </w:rPr>
        <w:t xml:space="preserve">响应无效</w:t>
      </w:r>
      <w:r>
        <w:rPr>
          <w:color w:val="000000"/>
          <w:sz w:val="24"/>
          <w:highlight w:val="none"/>
        </w:rPr>
        <w:t xml:space="preserve">。</w:t>
      </w:r>
      <w:r/>
    </w:p>
    <w:p>
      <w:pPr>
        <w:numPr>
          <w:ilvl w:val="0"/>
          <w:numId w:val="8"/>
        </w:numPr>
        <w:ind w:left="357" w:hanging="357"/>
        <w:spacing w:line="360" w:lineRule="auto"/>
        <w:tabs>
          <w:tab w:val="left" w:pos="360" w:leader="none"/>
        </w:tabs>
        <w:rPr>
          <w:color w:val="000000"/>
          <w:sz w:val="24"/>
          <w:highlight w:val="none"/>
        </w:rPr>
        <w:outlineLvl w:val="1"/>
      </w:pPr>
      <w:r/>
      <w:bookmarkStart w:id="290" w:name="_Toc150480771"/>
      <w:r/>
      <w:bookmarkStart w:id="291" w:name="_Toc265228371"/>
      <w:r/>
      <w:bookmarkStart w:id="292" w:name="_Toc150774738"/>
      <w:r/>
      <w:bookmarkStart w:id="293" w:name="_Toc151193703"/>
      <w:r/>
      <w:bookmarkStart w:id="294" w:name="_Toc150509284"/>
      <w:r/>
      <w:bookmarkStart w:id="295" w:name="_Toc195842898"/>
      <w:r/>
      <w:bookmarkStart w:id="296" w:name="_Toc151190160"/>
      <w:r/>
      <w:bookmarkStart w:id="297" w:name="_Toc226309777"/>
      <w:r/>
      <w:bookmarkStart w:id="298" w:name="_Toc264969223"/>
      <w:r/>
      <w:bookmarkStart w:id="299" w:name="_Toc164351627"/>
      <w:r/>
      <w:bookmarkStart w:id="300" w:name="_Toc142311035"/>
      <w:r/>
      <w:bookmarkStart w:id="301" w:name="_Toc305158801"/>
      <w:r/>
      <w:bookmarkStart w:id="302" w:name="_Toc127161447"/>
      <w:r/>
      <w:bookmarkStart w:id="303" w:name="_Toc151193847"/>
      <w:r/>
      <w:bookmarkStart w:id="304" w:name="_Toc151193775"/>
      <w:r/>
      <w:bookmarkStart w:id="305" w:name="_Toc226337229"/>
      <w:r/>
      <w:bookmarkStart w:id="306" w:name="_Toc226965806"/>
      <w:r/>
      <w:bookmarkStart w:id="307" w:name="_Toc150774633"/>
      <w:r/>
      <w:bookmarkStart w:id="308" w:name="_Toc520356158"/>
      <w:r/>
      <w:bookmarkStart w:id="309" w:name="_Toc305158875"/>
      <w:r/>
      <w:bookmarkStart w:id="310" w:name="_Toc127151734"/>
      <w:r/>
      <w:bookmarkStart w:id="311" w:name="_Toc151193631"/>
      <w:r/>
      <w:bookmarkStart w:id="312" w:name="_Toc164229228"/>
      <w:r/>
      <w:bookmarkStart w:id="313" w:name="_Toc149720826"/>
      <w:r/>
      <w:bookmarkStart w:id="314" w:name="_Toc226965723"/>
      <w:r/>
      <w:bookmarkStart w:id="315" w:name="_Toc164229374"/>
      <w:r/>
      <w:bookmarkStart w:id="316" w:name="_Toc127151533"/>
      <w:r/>
      <w:bookmarkStart w:id="317" w:name="_Toc151193921"/>
      <w:r/>
      <w:bookmarkStart w:id="318" w:name="_Toc164608647"/>
      <w:r/>
      <w:bookmarkStart w:id="319" w:name="_Toc164608802"/>
      <w:r>
        <w:rPr>
          <w:color w:val="000000"/>
          <w:sz w:val="24"/>
          <w:highlight w:val="none"/>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color w:val="000000"/>
          <w:sz w:val="24"/>
          <w:highlight w:val="none"/>
        </w:rPr>
        <w:t xml:space="preserve">、盖章</w:t>
      </w:r>
      <w:r/>
    </w:p>
    <w:p>
      <w:pPr>
        <w:numPr>
          <w:ilvl w:val="1"/>
          <w:numId w:val="8"/>
        </w:numPr>
        <w:spacing w:line="360" w:lineRule="auto"/>
        <w:tabs>
          <w:tab w:val="left" w:pos="1080" w:leader="none"/>
        </w:tabs>
        <w:rPr>
          <w:color w:val="000000"/>
          <w:sz w:val="24"/>
          <w:highlight w:val="none"/>
        </w:rPr>
      </w:pPr>
      <w:r/>
      <w:bookmarkStart w:id="320" w:name="_Toc142311036"/>
      <w:r/>
      <w:bookmarkStart w:id="321" w:name="_Toc150509285"/>
      <w:r/>
      <w:bookmarkStart w:id="322" w:name="_Toc151193704"/>
      <w:r/>
      <w:bookmarkStart w:id="323" w:name="_Toc520356159"/>
      <w:r/>
      <w:bookmarkStart w:id="324" w:name="_Toc151193922"/>
      <w:r/>
      <w:bookmarkStart w:id="325" w:name="_Toc151190161"/>
      <w:r/>
      <w:bookmarkStart w:id="326" w:name="_Toc226965807"/>
      <w:r/>
      <w:bookmarkStart w:id="327" w:name="_Toc226309778"/>
      <w:r/>
      <w:bookmarkStart w:id="328" w:name="_Toc150774739"/>
      <w:r/>
      <w:bookmarkStart w:id="329" w:name="_Toc226337230"/>
      <w:r/>
      <w:bookmarkStart w:id="330" w:name="_Toc264969224"/>
      <w:r/>
      <w:bookmarkStart w:id="331" w:name="_Toc305158876"/>
      <w:r/>
      <w:bookmarkStart w:id="332" w:name="_Toc150480772"/>
      <w:r/>
      <w:bookmarkStart w:id="333" w:name="_Toc226965724"/>
      <w:r/>
      <w:bookmarkStart w:id="334" w:name="_Toc265228372"/>
      <w:r/>
      <w:bookmarkStart w:id="335" w:name="_Toc195842899"/>
      <w:r/>
      <w:bookmarkStart w:id="336" w:name="_Toc150774634"/>
      <w:r/>
      <w:bookmarkStart w:id="337" w:name="_Toc305158802"/>
      <w:r/>
      <w:bookmarkStart w:id="338" w:name="_Toc151193776"/>
      <w:r/>
      <w:bookmarkStart w:id="339" w:name="_Toc151193848"/>
      <w:r/>
      <w:bookmarkStart w:id="340" w:name="_Toc151193632"/>
      <w:r/>
      <w:bookmarkStart w:id="341" w:name="_Toc127151534"/>
      <w:r>
        <w:rPr>
          <w:color w:val="000000"/>
          <w:sz w:val="24"/>
          <w:highlight w:val="none"/>
        </w:rPr>
        <w:t xml:space="preserve">竞争性磋商文件要求签字的内容（如授权委托书等），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竞争性磋商文件要求盖章的内容，</w:t>
      </w:r>
      <w:r>
        <w:rPr>
          <w:rFonts w:hint="eastAsia"/>
          <w:color w:val="000000"/>
          <w:sz w:val="24"/>
          <w:highlight w:val="none"/>
        </w:rPr>
        <w:t xml:space="preserve">一般</w:t>
      </w:r>
      <w:r>
        <w:rPr>
          <w:color w:val="000000"/>
          <w:sz w:val="24"/>
          <w:highlight w:val="none"/>
        </w:rPr>
        <w:t xml:space="preserve">通过投标文件编制工具加盖电子签章。</w:t>
      </w:r>
      <w:r/>
    </w:p>
    <w:p>
      <w:pPr>
        <w:ind w:left="357"/>
        <w:spacing w:line="360" w:lineRule="auto"/>
        <w:tabs>
          <w:tab w:val="left" w:pos="900" w:leader="none"/>
          <w:tab w:val="left" w:pos="1080" w:leader="none"/>
        </w:tabs>
        <w:rPr>
          <w:color w:val="000000"/>
          <w:highlight w:val="none"/>
        </w:rPr>
      </w:pPr>
      <w:r>
        <w:rPr>
          <w:color w:val="000000"/>
          <w:highlight w:val="none"/>
        </w:rPr>
      </w:r>
      <w:r/>
    </w:p>
    <w:p>
      <w:pPr>
        <w:pStyle w:val="953"/>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8"/>
        </w:numPr>
        <w:ind w:left="357" w:hanging="357"/>
        <w:spacing w:line="360" w:lineRule="auto"/>
        <w:tabs>
          <w:tab w:val="left" w:pos="360" w:leader="none"/>
        </w:tabs>
        <w:rPr>
          <w:color w:val="000000"/>
          <w:sz w:val="24"/>
          <w:highlight w:val="none"/>
        </w:rPr>
        <w:outlineLvl w:val="1"/>
      </w:pPr>
      <w:r/>
      <w:bookmarkStart w:id="342" w:name="_Toc151193705"/>
      <w:r/>
      <w:bookmarkStart w:id="343" w:name="_Toc226337231"/>
      <w:r/>
      <w:bookmarkStart w:id="344" w:name="_Toc149720828"/>
      <w:r/>
      <w:bookmarkStart w:id="345" w:name="_Toc151193849"/>
      <w:r/>
      <w:bookmarkStart w:id="346" w:name="_Toc164608649"/>
      <w:r/>
      <w:bookmarkStart w:id="347" w:name="_Toc164229376"/>
      <w:r/>
      <w:bookmarkStart w:id="348" w:name="_Toc150774635"/>
      <w:r/>
      <w:bookmarkStart w:id="349" w:name="_Toc195842900"/>
      <w:r/>
      <w:bookmarkStart w:id="350" w:name="_Toc127161449"/>
      <w:r/>
      <w:bookmarkStart w:id="351" w:name="_Toc164229230"/>
      <w:r/>
      <w:bookmarkStart w:id="352" w:name="_Toc127151736"/>
      <w:r/>
      <w:bookmarkStart w:id="353" w:name="_Toc151190162"/>
      <w:r/>
      <w:bookmarkStart w:id="354" w:name="_Toc142311037"/>
      <w:r/>
      <w:bookmarkStart w:id="355" w:name="_Toc226965725"/>
      <w:r/>
      <w:bookmarkStart w:id="356" w:name="_Toc265228373"/>
      <w:r/>
      <w:bookmarkStart w:id="357" w:name="_Toc151193923"/>
      <w:r/>
      <w:bookmarkStart w:id="358" w:name="_Toc226965808"/>
      <w:r/>
      <w:bookmarkStart w:id="359" w:name="_Toc305158803"/>
      <w:r/>
      <w:bookmarkStart w:id="360" w:name="_Toc264969225"/>
      <w:r/>
      <w:bookmarkStart w:id="361" w:name="_Toc226309779"/>
      <w:r/>
      <w:bookmarkStart w:id="362" w:name="_Toc151193777"/>
      <w:r/>
      <w:bookmarkStart w:id="363" w:name="_Toc150480773"/>
      <w:r/>
      <w:bookmarkStart w:id="364" w:name="_Toc150774740"/>
      <w:r/>
      <w:bookmarkStart w:id="365" w:name="_Toc151193633"/>
      <w:r/>
      <w:bookmarkStart w:id="366" w:name="_Toc150509286"/>
      <w:r/>
      <w:bookmarkStart w:id="367" w:name="_Toc520356160"/>
      <w:r/>
      <w:bookmarkStart w:id="368" w:name="_Toc127151535"/>
      <w:r/>
      <w:bookmarkStart w:id="369" w:name="_Toc164608804"/>
      <w:r/>
      <w:bookmarkStart w:id="370" w:name="_Toc164351629"/>
      <w:r/>
      <w:bookmarkStart w:id="371" w:name="_Toc305158877"/>
      <w:r>
        <w:rPr>
          <w:color w:val="000000"/>
          <w:sz w:val="24"/>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color w:val="000000"/>
          <w:sz w:val="24"/>
          <w:highlight w:val="none"/>
        </w:rPr>
        <w:t xml:space="preserve">提交</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本项目使用“苏采云”政府采购一体化平台。供应商根据竞争性磋商文件及“苏采云”政府采购一体化平台供应商操作手册要求编制、生成并提交电子响应文件。</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color w:val="000000"/>
          <w:sz w:val="24"/>
          <w:highlight w:val="none"/>
        </w:rPr>
        <w:outlineLvl w:val="1"/>
      </w:pPr>
      <w:r/>
      <w:bookmarkStart w:id="372" w:name="_Toc226309780"/>
      <w:r/>
      <w:bookmarkStart w:id="373" w:name="_Toc150774741"/>
      <w:r/>
      <w:bookmarkStart w:id="374" w:name="_Toc127151536"/>
      <w:r/>
      <w:bookmarkStart w:id="375" w:name="_Toc151193924"/>
      <w:r/>
      <w:bookmarkStart w:id="376" w:name="_Toc264969226"/>
      <w:r/>
      <w:bookmarkStart w:id="377" w:name="_Toc151193778"/>
      <w:r/>
      <w:bookmarkStart w:id="378" w:name="_Toc149720829"/>
      <w:r/>
      <w:bookmarkStart w:id="379" w:name="_Toc151193634"/>
      <w:r/>
      <w:bookmarkStart w:id="380" w:name="_Toc142311038"/>
      <w:r/>
      <w:bookmarkStart w:id="381" w:name="_Toc150774636"/>
      <w:r/>
      <w:bookmarkStart w:id="382" w:name="_Toc150480774"/>
      <w:r/>
      <w:bookmarkStart w:id="383" w:name="_Toc164608805"/>
      <w:r/>
      <w:bookmarkStart w:id="384" w:name="_Toc164351630"/>
      <w:r/>
      <w:bookmarkStart w:id="385" w:name="_Toc164229231"/>
      <w:r/>
      <w:bookmarkStart w:id="386" w:name="_Toc195842901"/>
      <w:r/>
      <w:bookmarkStart w:id="387" w:name="_Toc127151737"/>
      <w:r/>
      <w:bookmarkStart w:id="388" w:name="_Toc305158804"/>
      <w:r/>
      <w:bookmarkStart w:id="389" w:name="_Toc265228374"/>
      <w:r/>
      <w:bookmarkStart w:id="390" w:name="_Toc305158878"/>
      <w:r/>
      <w:bookmarkStart w:id="391" w:name="_Toc226965809"/>
      <w:r/>
      <w:bookmarkStart w:id="392" w:name="_Toc127161450"/>
      <w:r/>
      <w:bookmarkStart w:id="393" w:name="_Toc150509287"/>
      <w:r/>
      <w:bookmarkStart w:id="394" w:name="_Toc520356161"/>
      <w:r/>
      <w:bookmarkStart w:id="395" w:name="_Toc164229377"/>
      <w:r/>
      <w:bookmarkStart w:id="396" w:name="_Toc226965726"/>
      <w:r/>
      <w:bookmarkStart w:id="397" w:name="_Toc151193850"/>
      <w:r/>
      <w:bookmarkStart w:id="398" w:name="_Toc151193706"/>
      <w:r/>
      <w:bookmarkStart w:id="399" w:name="_Toc151190163"/>
      <w:r/>
      <w:bookmarkStart w:id="400" w:name="_Toc164608650"/>
      <w:r/>
      <w:bookmarkStart w:id="401" w:name="_Toc226337232"/>
      <w:r>
        <w:rPr>
          <w:color w:val="000000"/>
          <w:sz w:val="24"/>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color w:val="000000"/>
          <w:sz w:val="24"/>
          <w:highlight w:val="none"/>
        </w:rPr>
        <w:t xml:space="preserve">时间</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供应商应在竞争性磋商文件要求提交响应文件截止时间前，将电子响应文件提交至“苏采云”政府采购一体化平台。</w:t>
      </w:r>
      <w:r/>
    </w:p>
    <w:p>
      <w:pPr>
        <w:numPr>
          <w:ilvl w:val="0"/>
          <w:numId w:val="8"/>
        </w:numPr>
        <w:ind w:left="357" w:hanging="357"/>
        <w:spacing w:line="360" w:lineRule="auto"/>
        <w:tabs>
          <w:tab w:val="left" w:pos="360" w:leader="none"/>
        </w:tabs>
        <w:rPr>
          <w:color w:val="000000"/>
          <w:sz w:val="24"/>
          <w:highlight w:val="none"/>
        </w:rPr>
        <w:outlineLvl w:val="1"/>
      </w:pPr>
      <w:r/>
      <w:bookmarkStart w:id="402" w:name="_Toc164229378"/>
      <w:r/>
      <w:bookmarkStart w:id="403" w:name="_Toc226965727"/>
      <w:r/>
      <w:bookmarkStart w:id="404" w:name="_Toc151190164"/>
      <w:r/>
      <w:bookmarkStart w:id="405" w:name="_Toc127151537"/>
      <w:r/>
      <w:bookmarkStart w:id="406" w:name="_Toc226965810"/>
      <w:r/>
      <w:bookmarkStart w:id="407" w:name="_Toc127161451"/>
      <w:r/>
      <w:bookmarkStart w:id="408" w:name="_Toc164229232"/>
      <w:r/>
      <w:bookmarkStart w:id="409" w:name="_Toc151193925"/>
      <w:r/>
      <w:bookmarkStart w:id="410" w:name="_Toc520356162"/>
      <w:r/>
      <w:bookmarkStart w:id="411" w:name="_Toc195842902"/>
      <w:r/>
      <w:bookmarkStart w:id="412" w:name="_Toc264969227"/>
      <w:r/>
      <w:bookmarkStart w:id="413" w:name="_Toc142311039"/>
      <w:r/>
      <w:bookmarkStart w:id="414" w:name="_Toc164608651"/>
      <w:r/>
      <w:bookmarkStart w:id="415" w:name="_Toc164351631"/>
      <w:r/>
      <w:bookmarkStart w:id="416" w:name="_Toc265228375"/>
      <w:r/>
      <w:bookmarkStart w:id="417" w:name="_Toc149720830"/>
      <w:r/>
      <w:bookmarkStart w:id="418" w:name="_Toc150480775"/>
      <w:r/>
      <w:bookmarkStart w:id="419" w:name="_Toc151193779"/>
      <w:r/>
      <w:bookmarkStart w:id="420" w:name="_Toc150509288"/>
      <w:r/>
      <w:bookmarkStart w:id="421" w:name="_Toc226309781"/>
      <w:r/>
      <w:bookmarkStart w:id="422" w:name="_Toc226337233"/>
      <w:r/>
      <w:bookmarkStart w:id="423" w:name="_Toc151193707"/>
      <w:r/>
      <w:bookmarkStart w:id="424" w:name="_Toc305158805"/>
      <w:r/>
      <w:bookmarkStart w:id="425" w:name="_Toc150774637"/>
      <w:r/>
      <w:bookmarkStart w:id="426" w:name="_Toc150774742"/>
      <w:r/>
      <w:bookmarkStart w:id="427" w:name="_Toc151193851"/>
      <w:r/>
      <w:bookmarkStart w:id="428" w:name="_Toc305158879"/>
      <w:r/>
      <w:bookmarkStart w:id="429" w:name="_Toc151193635"/>
      <w:r/>
      <w:bookmarkStart w:id="430" w:name="_Toc127151738"/>
      <w:r/>
      <w:bookmarkStart w:id="431" w:name="_Toc164608806"/>
      <w:r>
        <w:rPr>
          <w:color w:val="000000"/>
          <w:sz w:val="24"/>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提交响应文件截止时间前，供应商可以通过电子交易平台对所提交的响应文件进行补充、修改或者撤回。磋商保证金</w:t>
      </w:r>
      <w:r>
        <w:rPr>
          <w:rFonts w:hint="eastAsia"/>
          <w:color w:val="000000"/>
          <w:sz w:val="24"/>
          <w:highlight w:val="none"/>
        </w:rPr>
        <w:t xml:space="preserve">的</w:t>
      </w:r>
      <w:r>
        <w:rPr>
          <w:color w:val="000000"/>
          <w:sz w:val="24"/>
          <w:highlight w:val="none"/>
        </w:rPr>
        <w:t xml:space="preserve">补充、修改或者撤回</w:t>
      </w:r>
      <w:r>
        <w:rPr>
          <w:rFonts w:hint="eastAsia"/>
          <w:color w:val="000000"/>
          <w:sz w:val="24"/>
          <w:highlight w:val="none"/>
        </w:rPr>
        <w:t xml:space="preserve">无需</w:t>
      </w:r>
      <w:r>
        <w:rPr>
          <w:color w:val="000000"/>
          <w:sz w:val="24"/>
          <w:highlight w:val="none"/>
        </w:rPr>
        <w:t xml:space="preserve">通过电子交易平台</w:t>
      </w:r>
      <w:r>
        <w:rPr>
          <w:rFonts w:hint="eastAsia"/>
          <w:color w:val="000000"/>
          <w:sz w:val="24"/>
          <w:highlight w:val="none"/>
        </w:rPr>
        <w:t xml:space="preserve">，</w:t>
      </w:r>
      <w:r>
        <w:rPr>
          <w:color w:val="000000"/>
          <w:sz w:val="24"/>
          <w:highlight w:val="none"/>
        </w:rPr>
        <w:t xml:space="preserve">但应</w:t>
      </w:r>
      <w:r>
        <w:rPr>
          <w:rFonts w:hint="eastAsia"/>
          <w:color w:val="000000"/>
          <w:sz w:val="24"/>
          <w:highlight w:val="none"/>
        </w:rPr>
        <w:t xml:space="preserve">就其</w:t>
      </w:r>
      <w:r>
        <w:rPr>
          <w:color w:val="000000"/>
          <w:sz w:val="24"/>
          <w:highlight w:val="none"/>
        </w:rPr>
        <w:t xml:space="preserve">补充、修改或者撤回</w:t>
      </w:r>
      <w:r>
        <w:rPr>
          <w:rFonts w:hint="eastAsia"/>
          <w:color w:val="000000"/>
          <w:sz w:val="24"/>
          <w:highlight w:val="none"/>
        </w:rPr>
        <w:t xml:space="preserve">通知</w:t>
      </w:r>
      <w:r>
        <w:rPr>
          <w:color w:val="000000"/>
          <w:sz w:val="24"/>
          <w:highlight w:val="none"/>
        </w:rPr>
        <w:t xml:space="preserve">采购人或采购代理机构。</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000000"/>
          <w:sz w:val="24"/>
          <w:highlight w:val="none"/>
        </w:rPr>
      </w:pPr>
      <w:r>
        <w:rPr>
          <w:color w:val="000000"/>
          <w:sz w:val="24"/>
          <w:highlight w:val="none"/>
        </w:rPr>
      </w:r>
      <w:r/>
    </w:p>
    <w:p>
      <w:pPr>
        <w:pStyle w:val="953"/>
        <w:spacing w:before="0" w:line="360" w:lineRule="auto"/>
        <w:rPr>
          <w:rFonts w:ascii="Times New Roman" w:hAnsi="Times New Roman" w:eastAsia="宋体"/>
          <w:color w:val="000000"/>
          <w:sz w:val="28"/>
          <w:highlight w:val="none"/>
        </w:rPr>
      </w:pPr>
      <w:r/>
      <w:bookmarkStart w:id="432" w:name="_Toc195842903"/>
      <w:r/>
      <w:bookmarkStart w:id="433" w:name="_Toc305158806"/>
      <w:r/>
      <w:bookmarkStart w:id="434" w:name="_Toc150509289"/>
      <w:r/>
      <w:bookmarkStart w:id="435" w:name="_Toc151193636"/>
      <w:r/>
      <w:bookmarkStart w:id="436" w:name="_Toc151193852"/>
      <w:r/>
      <w:bookmarkStart w:id="437" w:name="_Toc127151538"/>
      <w:r/>
      <w:bookmarkStart w:id="438" w:name="_Toc305158880"/>
      <w:r/>
      <w:bookmarkStart w:id="439" w:name="_Toc226965811"/>
      <w:r/>
      <w:bookmarkStart w:id="440" w:name="_Toc226337234"/>
      <w:r/>
      <w:bookmarkStart w:id="441" w:name="_Toc264969228"/>
      <w:r/>
      <w:bookmarkStart w:id="442" w:name="_Toc226965728"/>
      <w:r/>
      <w:bookmarkStart w:id="443" w:name="_Toc265228376"/>
      <w:r/>
      <w:bookmarkStart w:id="444" w:name="_Toc151190165"/>
      <w:r/>
      <w:bookmarkStart w:id="445" w:name="_Toc150774638"/>
      <w:r/>
      <w:bookmarkStart w:id="446" w:name="_Toc520356163"/>
      <w:r/>
      <w:bookmarkStart w:id="447" w:name="_Toc151193708"/>
      <w:r/>
      <w:bookmarkStart w:id="448" w:name="_Toc151193926"/>
      <w:r/>
      <w:bookmarkStart w:id="449" w:name="_Toc226309782"/>
      <w:r/>
      <w:bookmarkStart w:id="450" w:name="_Toc150774743"/>
      <w:r/>
      <w:bookmarkStart w:id="451" w:name="_Toc151193780"/>
      <w:r/>
      <w:bookmarkStart w:id="452" w:name="_Toc142311040"/>
      <w:r/>
      <w:bookmarkStart w:id="453" w:name="_Toc150480776"/>
      <w:r>
        <w:rPr>
          <w:rFonts w:ascii="Times New Roman" w:hAnsi="Times New Roman" w:eastAsia="宋体"/>
          <w:color w:val="000000"/>
          <w:sz w:val="28"/>
          <w:highlight w:val="none"/>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color w:val="000000"/>
          <w:sz w:val="28"/>
          <w:highlight w:val="none"/>
        </w:rPr>
        <w:t xml:space="preserve">评审</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响应文件的</w:t>
      </w:r>
      <w:r>
        <w:rPr>
          <w:rFonts w:hint="eastAsia"/>
          <w:color w:val="000000"/>
          <w:sz w:val="24"/>
          <w:highlight w:val="none"/>
        </w:rPr>
        <w:t xml:space="preserve">解密与</w:t>
      </w:r>
      <w:r>
        <w:rPr>
          <w:color w:val="000000"/>
          <w:sz w:val="24"/>
          <w:highlight w:val="none"/>
        </w:rPr>
        <w:t xml:space="preserve">开启</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本项目</w:t>
      </w:r>
      <w:r>
        <w:rPr>
          <w:rFonts w:ascii="宋体" w:hAnsi="宋体"/>
          <w:color w:val="000000"/>
          <w:sz w:val="24"/>
          <w:highlight w:val="none"/>
        </w:rPr>
        <w:t xml:space="preserve">采用不见面招</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color w:val="000000"/>
          <w:sz w:val="24"/>
          <w:highlight w:val="none"/>
        </w:rPr>
        <w:t xml:space="preserve">使用“苏采云”政府采购一体化平台</w:t>
      </w:r>
      <w:r>
        <w:rPr>
          <w:rFonts w:hint="eastAsia"/>
          <w:color w:val="000000"/>
          <w:sz w:val="24"/>
          <w:highlight w:val="none"/>
        </w:rPr>
        <w:t xml:space="preserve">在线进行</w:t>
      </w:r>
      <w:r>
        <w:rPr>
          <w:color w:val="000000"/>
          <w:sz w:val="24"/>
          <w:highlight w:val="none"/>
        </w:rPr>
        <w:t xml:space="preserve">解密。供应商应在规定的时间内对</w:t>
      </w:r>
      <w:r>
        <w:rPr>
          <w:rFonts w:hint="eastAsia"/>
          <w:color w:val="000000"/>
          <w:sz w:val="24"/>
          <w:highlight w:val="none"/>
        </w:rPr>
        <w:t xml:space="preserve">响应</w:t>
      </w:r>
      <w:r>
        <w:rPr>
          <w:color w:val="000000"/>
          <w:sz w:val="24"/>
          <w:highlight w:val="none"/>
        </w:rPr>
        <w:t xml:space="preserve">文件进行解密，因非系统原因导致的解密失败，视为</w:t>
      </w:r>
      <w:r>
        <w:rPr>
          <w:b/>
          <w:color w:val="000000"/>
          <w:sz w:val="24"/>
          <w:highlight w:val="none"/>
        </w:rPr>
        <w:t xml:space="preserve">响应无效</w:t>
      </w:r>
      <w:r>
        <w:rPr>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color w:val="000000"/>
          <w:sz w:val="24"/>
          <w:highlight w:val="none"/>
        </w:rPr>
      </w:pPr>
      <w:r/>
      <w:bookmarkStart w:id="454" w:name="_Toc520356165"/>
      <w:r>
        <w:rPr>
          <w:color w:val="000000"/>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供应商须在开标前使用“验证CA”功能验证本地计算机的控件环境是否正常，并且在</w:t>
      </w:r>
      <w:r>
        <w:rPr>
          <w:rFonts w:hint="eastAsia"/>
          <w:color w:val="000000"/>
          <w:sz w:val="24"/>
          <w:highlight w:val="none"/>
        </w:rPr>
        <w:t xml:space="preserve">解密、评审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，必须使用验证成功的计算机进行操作，否则造成相应后果由供应商自行承担。本地计算机</w:t>
      </w:r>
      <w:r>
        <w:rPr>
          <w:rFonts w:hint="eastAsia"/>
          <w:color w:val="000000"/>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解密、评审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color w:val="000000"/>
          <w:sz w:val="24"/>
          <w:highlight w:val="none"/>
          <w:lang w:bidi="ar"/>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p>
    <w:p>
      <w:pPr>
        <w:ind w:firstLine="480"/>
        <w:spacing w:line="360" w:lineRule="auto"/>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bookmarkEnd w:id="454"/>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磋商小组</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磋商小组根据政府采购有关规定和本次采购项目的特点进行组建，并负责具体评审事务，独立履行职责。</w:t>
      </w:r>
      <w:bookmarkStart w:id="455" w:name="_Toc520356166"/>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455"/>
      <w:r/>
      <w:bookmarkStart w:id="456" w:name="_Toc520356169"/>
      <w:r/>
      <w:r/>
    </w:p>
    <w:p>
      <w:pPr>
        <w:numPr>
          <w:ilvl w:val="0"/>
          <w:numId w:val="8"/>
        </w:numPr>
        <w:spacing w:line="360" w:lineRule="auto"/>
        <w:tabs>
          <w:tab w:val="left" w:pos="360" w:leader="none"/>
        </w:tabs>
        <w:rPr>
          <w:color w:val="000000"/>
          <w:sz w:val="24"/>
          <w:highlight w:val="none"/>
        </w:rPr>
        <w:outlineLvl w:val="1"/>
      </w:pPr>
      <w:r>
        <w:rPr>
          <w:color w:val="000000"/>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见第三章《评审方法和评审标准》。</w:t>
      </w:r>
      <w:r/>
    </w:p>
    <w:p>
      <w:pPr>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953"/>
        <w:spacing w:before="0" w:line="360" w:lineRule="auto"/>
        <w:rPr>
          <w:rFonts w:ascii="Times New Roman" w:hAnsi="Times New Roman" w:eastAsia="宋体"/>
          <w:color w:val="000000"/>
          <w:sz w:val="28"/>
          <w:highlight w:val="none"/>
        </w:rPr>
      </w:pPr>
      <w:r/>
      <w:bookmarkStart w:id="457" w:name="_Toc226337241"/>
      <w:r/>
      <w:bookmarkStart w:id="458" w:name="_Toc264969235"/>
      <w:r/>
      <w:bookmarkStart w:id="459" w:name="_Toc226965818"/>
      <w:r/>
      <w:bookmarkStart w:id="460" w:name="_Toc150774645"/>
      <w:r/>
      <w:bookmarkStart w:id="461" w:name="_Toc151193715"/>
      <w:r/>
      <w:bookmarkStart w:id="462" w:name="_Toc226309789"/>
      <w:r/>
      <w:bookmarkStart w:id="463" w:name="_Toc150509296"/>
      <w:r/>
      <w:bookmarkStart w:id="464" w:name="_Toc195842910"/>
      <w:r/>
      <w:bookmarkStart w:id="465" w:name="_Toc150774750"/>
      <w:r/>
      <w:bookmarkStart w:id="466" w:name="_Toc151193787"/>
      <w:r/>
      <w:bookmarkStart w:id="467" w:name="_Toc151190172"/>
      <w:r/>
      <w:bookmarkStart w:id="468" w:name="_Toc265228383"/>
      <w:r/>
      <w:bookmarkStart w:id="469" w:name="_Toc142311047"/>
      <w:r/>
      <w:bookmarkStart w:id="470" w:name="_Toc305158813"/>
      <w:r/>
      <w:bookmarkStart w:id="471" w:name="_Toc127151545"/>
      <w:r/>
      <w:bookmarkStart w:id="472" w:name="_Toc150480783"/>
      <w:r/>
      <w:bookmarkStart w:id="473" w:name="_Toc151193933"/>
      <w:r/>
      <w:bookmarkStart w:id="474" w:name="_Toc305158887"/>
      <w:r/>
      <w:bookmarkStart w:id="475" w:name="_Toc151193859"/>
      <w:r/>
      <w:bookmarkStart w:id="476" w:name="_Toc226965735"/>
      <w:r/>
      <w:bookmarkStart w:id="477" w:name="_Toc151193643"/>
      <w:r>
        <w:rPr>
          <w:rFonts w:ascii="Times New Roman" w:hAnsi="Times New Roman" w:eastAsia="宋体"/>
          <w:color w:val="000000"/>
          <w:sz w:val="28"/>
          <w:highlight w:val="none"/>
        </w:rPr>
        <w:t xml:space="preserve">六   </w:t>
      </w:r>
      <w:bookmarkEnd w:id="456"/>
      <w:r>
        <w:rPr>
          <w:rFonts w:ascii="Times New Roman" w:hAnsi="Times New Roman" w:eastAsia="宋体"/>
          <w:color w:val="000000"/>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color w:val="000000"/>
          <w:sz w:val="28"/>
          <w:highlight w:val="none"/>
        </w:rPr>
        <w:t xml:space="preserve">成交</w:t>
      </w:r>
      <w:r/>
    </w:p>
    <w:p>
      <w:pPr>
        <w:numPr>
          <w:ilvl w:val="0"/>
          <w:numId w:val="8"/>
        </w:numPr>
        <w:ind w:left="357" w:hanging="357"/>
        <w:spacing w:line="360" w:lineRule="auto"/>
        <w:tabs>
          <w:tab w:val="left" w:pos="360" w:leader="none"/>
        </w:tabs>
        <w:rPr>
          <w:color w:val="000000"/>
          <w:sz w:val="24"/>
          <w:highlight w:val="none"/>
        </w:rPr>
        <w:outlineLvl w:val="1"/>
      </w:pPr>
      <w:r/>
      <w:bookmarkStart w:id="478" w:name="_Toc127161461"/>
      <w:r/>
      <w:bookmarkStart w:id="479" w:name="_Toc164608661"/>
      <w:r/>
      <w:bookmarkStart w:id="480" w:name="_Toc151190174"/>
      <w:r/>
      <w:bookmarkStart w:id="481" w:name="_Toc305158815"/>
      <w:r/>
      <w:bookmarkStart w:id="482" w:name="_Toc305158889"/>
      <w:r/>
      <w:bookmarkStart w:id="483" w:name="_Toc151193789"/>
      <w:r/>
      <w:bookmarkStart w:id="484" w:name="_Toc164229242"/>
      <w:r/>
      <w:bookmarkStart w:id="485" w:name="_Toc151193645"/>
      <w:r/>
      <w:bookmarkStart w:id="486" w:name="_Toc151193717"/>
      <w:r/>
      <w:bookmarkStart w:id="487" w:name="_Toc164229388"/>
      <w:r/>
      <w:bookmarkStart w:id="488" w:name="_Toc164608816"/>
      <w:r/>
      <w:bookmarkStart w:id="489" w:name="_Toc150480785"/>
      <w:r/>
      <w:bookmarkStart w:id="490" w:name="_Toc150774752"/>
      <w:r/>
      <w:bookmarkStart w:id="491" w:name="_Toc264969237"/>
      <w:r/>
      <w:bookmarkStart w:id="492" w:name="_Toc151193935"/>
      <w:r/>
      <w:bookmarkStart w:id="493" w:name="_Toc195842912"/>
      <w:r/>
      <w:bookmarkStart w:id="494" w:name="_Toc226965737"/>
      <w:r/>
      <w:bookmarkStart w:id="495" w:name="_Toc149720840"/>
      <w:r/>
      <w:bookmarkStart w:id="496" w:name="_Toc150774647"/>
      <w:r/>
      <w:bookmarkStart w:id="497" w:name="_Toc127151547"/>
      <w:r/>
      <w:bookmarkStart w:id="498" w:name="_Toc226965820"/>
      <w:r/>
      <w:bookmarkStart w:id="499" w:name="_Toc226309791"/>
      <w:r/>
      <w:bookmarkStart w:id="500" w:name="_Toc150509298"/>
      <w:r/>
      <w:bookmarkStart w:id="501" w:name="_Toc151193861"/>
      <w:r/>
      <w:bookmarkStart w:id="502" w:name="_Toc226337243"/>
      <w:r/>
      <w:bookmarkStart w:id="503" w:name="_Toc142311049"/>
      <w:r/>
      <w:bookmarkStart w:id="504" w:name="_Toc164351641"/>
      <w:r/>
      <w:bookmarkStart w:id="505" w:name="_Toc265228385"/>
      <w:r/>
      <w:bookmarkStart w:id="506" w:name="_Toc127151748"/>
      <w:r>
        <w:rPr>
          <w:color w:val="000000"/>
          <w:sz w:val="24"/>
          <w:highlight w:val="none"/>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采购人将在收到评审报告后，从评审报告提出的成交候选供应商中，按照排序由高到低的原则确定成交供应商</w:t>
      </w:r>
      <w:r>
        <w:rPr>
          <w:rFonts w:hint="eastAsia"/>
          <w:color w:val="000000"/>
          <w:sz w:val="24"/>
          <w:highlight w:val="none"/>
        </w:rPr>
        <w:t xml:space="preserve">。</w:t>
      </w:r>
      <w:r>
        <w:rPr>
          <w:color w:val="000000"/>
          <w:sz w:val="24"/>
          <w:highlight w:val="none"/>
        </w:rPr>
        <w:t xml:space="preserve">成交候选人并列的，由采购人</w:t>
      </w:r>
      <w:r>
        <w:rPr>
          <w:rFonts w:hint="eastAsia"/>
          <w:color w:val="000000"/>
          <w:sz w:val="24"/>
          <w:highlight w:val="none"/>
        </w:rPr>
        <w:t xml:space="preserve">依法</w:t>
      </w:r>
      <w:r>
        <w:rPr>
          <w:color w:val="000000"/>
          <w:sz w:val="24"/>
          <w:highlight w:val="none"/>
        </w:rPr>
        <w:t xml:space="preserve">确定。</w:t>
      </w:r>
      <w:r/>
    </w:p>
    <w:p>
      <w:pPr>
        <w:numPr>
          <w:ilvl w:val="0"/>
          <w:numId w:val="8"/>
        </w:numPr>
        <w:ind w:left="357" w:hanging="357"/>
        <w:spacing w:line="360" w:lineRule="auto"/>
        <w:tabs>
          <w:tab w:val="left" w:pos="360" w:leader="none"/>
        </w:tabs>
        <w:rPr>
          <w:color w:val="000000"/>
          <w:sz w:val="24"/>
          <w:highlight w:val="none"/>
        </w:rPr>
        <w:outlineLvl w:val="1"/>
      </w:pPr>
      <w:r/>
      <w:bookmarkStart w:id="507" w:name="_Toc305158891"/>
      <w:r/>
      <w:bookmarkStart w:id="508" w:name="_Toc305158817"/>
      <w:r/>
      <w:bookmarkStart w:id="509" w:name="_Toc195842914"/>
      <w:r/>
      <w:bookmarkStart w:id="510" w:name="_Toc149720842"/>
      <w:r/>
      <w:bookmarkStart w:id="511" w:name="_Toc226337245"/>
      <w:r/>
      <w:bookmarkStart w:id="512" w:name="_Toc150509300"/>
      <w:r/>
      <w:bookmarkStart w:id="513" w:name="_Toc264969239"/>
      <w:r/>
      <w:bookmarkStart w:id="514" w:name="_Toc164351643"/>
      <w:r/>
      <w:bookmarkStart w:id="515" w:name="_Toc150480787"/>
      <w:r/>
      <w:bookmarkStart w:id="516" w:name="_Toc151193937"/>
      <w:r/>
      <w:bookmarkStart w:id="517" w:name="_Toc127161463"/>
      <w:r/>
      <w:bookmarkStart w:id="518" w:name="_Toc151193647"/>
      <w:r/>
      <w:bookmarkStart w:id="519" w:name="_Toc151193719"/>
      <w:r/>
      <w:bookmarkStart w:id="520" w:name="_Toc265228387"/>
      <w:r/>
      <w:bookmarkStart w:id="521" w:name="_Toc142311051"/>
      <w:r/>
      <w:bookmarkStart w:id="522" w:name="_Toc127151549"/>
      <w:r/>
      <w:bookmarkStart w:id="523" w:name="_Toc164608663"/>
      <w:r/>
      <w:bookmarkStart w:id="524" w:name="_Toc226965739"/>
      <w:r/>
      <w:bookmarkStart w:id="525" w:name="_Toc151190176"/>
      <w:r/>
      <w:bookmarkStart w:id="526" w:name="_Toc164608818"/>
      <w:r/>
      <w:bookmarkStart w:id="527" w:name="_Toc127151750"/>
      <w:r/>
      <w:bookmarkStart w:id="528" w:name="_Toc150774754"/>
      <w:r/>
      <w:bookmarkStart w:id="529" w:name="_Toc151193863"/>
      <w:r/>
      <w:bookmarkStart w:id="530" w:name="_Toc164229390"/>
      <w:r/>
      <w:bookmarkStart w:id="531" w:name="_Toc226309793"/>
      <w:r/>
      <w:bookmarkStart w:id="532" w:name="_Toc226965822"/>
      <w:r/>
      <w:bookmarkStart w:id="533" w:name="_Toc151193791"/>
      <w:r/>
      <w:bookmarkStart w:id="534" w:name="_Toc150774649"/>
      <w:r/>
      <w:bookmarkStart w:id="535" w:name="_Toc164229244"/>
      <w:r/>
      <w:bookmarkStart w:id="536" w:name="_Ref467307090"/>
      <w:r/>
      <w:bookmarkStart w:id="537" w:name="_Ref467306425"/>
      <w:r/>
      <w:bookmarkStart w:id="538" w:name="_Toc520356176"/>
      <w:r>
        <w:rPr>
          <w:color w:val="000000"/>
          <w:sz w:val="24"/>
          <w:highlight w:val="none"/>
        </w:rPr>
        <w:t xml:space="preserve">成交公告与成交通知书</w:t>
      </w:r>
      <w:bookmarkEnd w:id="507"/>
      <w:r/>
      <w:bookmarkEnd w:id="508"/>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采购人或采购代理机构将在成交供应商确定后2个工作日内，在</w:t>
      </w:r>
      <w:r>
        <w:rPr>
          <w:rFonts w:hint="eastAsia"/>
          <w:color w:val="000000"/>
          <w:sz w:val="24"/>
          <w:highlight w:val="none"/>
        </w:rPr>
        <w:t xml:space="preserve">常州市政府采购网</w:t>
      </w:r>
      <w:r>
        <w:rPr>
          <w:color w:val="000000"/>
          <w:sz w:val="24"/>
          <w:highlight w:val="none"/>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highlight w:val="none"/>
        </w:rPr>
        <w:t xml:space="preserve">。</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终止</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color w:val="000000"/>
          <w:sz w:val="24"/>
          <w:highlight w:val="none"/>
        </w:rPr>
      </w:pPr>
      <w:r>
        <w:rPr>
          <w:color w:val="000000"/>
          <w:sz w:val="24"/>
          <w:highlight w:val="none"/>
        </w:rPr>
        <w:t xml:space="preserve">因情况变化，不再符合规定的竞争性磋商采购方式适用情形的；</w:t>
      </w:r>
      <w:r/>
    </w:p>
    <w:p>
      <w:pPr>
        <w:numPr>
          <w:ilvl w:val="2"/>
          <w:numId w:val="8"/>
        </w:numPr>
        <w:spacing w:line="360" w:lineRule="auto"/>
        <w:rPr>
          <w:color w:val="000000"/>
          <w:sz w:val="24"/>
          <w:highlight w:val="none"/>
        </w:rPr>
      </w:pPr>
      <w:r>
        <w:rPr>
          <w:color w:val="000000"/>
          <w:sz w:val="24"/>
          <w:highlight w:val="none"/>
        </w:rPr>
        <w:t xml:space="preserve">出现影响采购公正的违法、违规行为的；</w:t>
      </w:r>
      <w:r/>
    </w:p>
    <w:p>
      <w:pPr>
        <w:numPr>
          <w:ilvl w:val="2"/>
          <w:numId w:val="8"/>
        </w:numPr>
        <w:spacing w:line="360" w:lineRule="auto"/>
        <w:rPr>
          <w:rFonts w:hint="eastAsia"/>
          <w:color w:val="000000"/>
          <w:sz w:val="24"/>
          <w:highlight w:val="none"/>
        </w:rPr>
      </w:pPr>
      <w:r>
        <w:rPr>
          <w:color w:val="000000"/>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numPr>
          <w:ilvl w:val="0"/>
          <w:numId w:val="8"/>
        </w:numPr>
        <w:ind w:left="357" w:hanging="357"/>
        <w:spacing w:line="360" w:lineRule="auto"/>
        <w:tabs>
          <w:tab w:val="left" w:pos="360" w:leader="none"/>
        </w:tabs>
        <w:rPr>
          <w:color w:val="000000"/>
          <w:sz w:val="24"/>
          <w:highlight w:val="none"/>
        </w:rPr>
        <w:outlineLvl w:val="1"/>
      </w:pPr>
      <w:r/>
      <w:bookmarkStart w:id="539" w:name="_Toc142311052"/>
      <w:r/>
      <w:bookmarkStart w:id="540" w:name="_Toc151190177"/>
      <w:r/>
      <w:bookmarkStart w:id="541" w:name="_Toc150774755"/>
      <w:r/>
      <w:bookmarkStart w:id="542" w:name="_Ref467307204"/>
      <w:r/>
      <w:bookmarkStart w:id="543" w:name="_Toc305158818"/>
      <w:r/>
      <w:bookmarkStart w:id="544" w:name="_Toc164229245"/>
      <w:r/>
      <w:bookmarkStart w:id="545" w:name="_Toc164229391"/>
      <w:r/>
      <w:bookmarkStart w:id="546" w:name="_Toc226337246"/>
      <w:r/>
      <w:bookmarkStart w:id="547" w:name="_Toc150774650"/>
      <w:r/>
      <w:bookmarkStart w:id="548" w:name="_Toc151193648"/>
      <w:r/>
      <w:bookmarkStart w:id="549" w:name="_Toc164351644"/>
      <w:r/>
      <w:bookmarkStart w:id="550" w:name="_Toc265228388"/>
      <w:r/>
      <w:bookmarkStart w:id="551" w:name="_Ref467306978"/>
      <w:r/>
      <w:bookmarkStart w:id="552" w:name="_Toc149720843"/>
      <w:r/>
      <w:bookmarkStart w:id="553" w:name="_Ref467307062"/>
      <w:r/>
      <w:bookmarkStart w:id="554" w:name="_Toc151193720"/>
      <w:r/>
      <w:bookmarkStart w:id="555" w:name="_Toc264969240"/>
      <w:r/>
      <w:bookmarkStart w:id="556" w:name="_Toc151193864"/>
      <w:r/>
      <w:bookmarkStart w:id="557" w:name="_Ref467306377"/>
      <w:r/>
      <w:bookmarkStart w:id="558" w:name="_Toc520356175"/>
      <w:r/>
      <w:bookmarkStart w:id="559" w:name="_Toc164608664"/>
      <w:r/>
      <w:bookmarkStart w:id="560" w:name="_Toc150509301"/>
      <w:r/>
      <w:bookmarkStart w:id="561" w:name="_Toc127151550"/>
      <w:r/>
      <w:bookmarkStart w:id="562" w:name="_Toc195842915"/>
      <w:r/>
      <w:bookmarkStart w:id="563" w:name="_Toc305158892"/>
      <w:r/>
      <w:bookmarkStart w:id="564" w:name="_Toc226965823"/>
      <w:r/>
      <w:bookmarkStart w:id="565" w:name="_Toc226965740"/>
      <w:r/>
      <w:bookmarkStart w:id="566" w:name="_Toc127151751"/>
      <w:r/>
      <w:bookmarkStart w:id="567" w:name="_Toc127161464"/>
      <w:r/>
      <w:bookmarkStart w:id="568" w:name="_Toc150480788"/>
      <w:r/>
      <w:bookmarkStart w:id="569" w:name="_Toc164608819"/>
      <w:r/>
      <w:bookmarkStart w:id="570" w:name="_Toc151193938"/>
      <w:r/>
      <w:bookmarkStart w:id="571" w:name="_Toc226309794"/>
      <w:r/>
      <w:bookmarkStart w:id="572" w:name="_Toc151193792"/>
      <w:r>
        <w:rPr>
          <w:color w:val="000000"/>
          <w:sz w:val="24"/>
          <w:highlight w:val="none"/>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采购人允许采用分包方式履行合同的，成交供应商可以依法采取分包方式履行合同。本项目</w:t>
      </w:r>
      <w:r>
        <w:rPr>
          <w:rFonts w:hint="eastAsia"/>
          <w:color w:val="000000"/>
          <w:sz w:val="24"/>
          <w:highlight w:val="none"/>
        </w:rPr>
        <w:t xml:space="preserve">是</w:t>
      </w:r>
      <w:r>
        <w:rPr>
          <w:color w:val="000000"/>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sz w:val="24"/>
          <w:highlight w:val="none"/>
        </w:rPr>
        <w:t xml:space="preserve">否则响应无效</w:t>
      </w:r>
      <w:r>
        <w:rPr>
          <w:color w:val="000000"/>
          <w:sz w:val="24"/>
          <w:highlight w:val="none"/>
        </w:rPr>
        <w:t xml:space="preserve">。成交供应商就采购项目和分包项目向采购人负责，分包供应商就分包项目承担责任。</w:t>
      </w:r>
      <w:bookmarkEnd w:id="536"/>
      <w:r/>
      <w:bookmarkEnd w:id="537"/>
      <w:r/>
      <w:bookmarkEnd w:id="538"/>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询问</w:t>
      </w:r>
      <w:r/>
    </w:p>
    <w:p>
      <w:pPr>
        <w:numPr>
          <w:ilvl w:val="2"/>
          <w:numId w:val="8"/>
        </w:numPr>
        <w:spacing w:line="360" w:lineRule="auto"/>
        <w:rPr>
          <w:color w:val="000000"/>
          <w:sz w:val="24"/>
          <w:highlight w:val="none"/>
        </w:rPr>
      </w:pPr>
      <w:r>
        <w:rPr>
          <w:color w:val="000000"/>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color w:val="000000"/>
          <w:sz w:val="24"/>
          <w:highlight w:val="none"/>
        </w:rPr>
      </w:pPr>
      <w:r>
        <w:rPr>
          <w:color w:val="000000"/>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质疑</w:t>
      </w:r>
      <w:r/>
    </w:p>
    <w:p>
      <w:pPr>
        <w:numPr>
          <w:ilvl w:val="2"/>
          <w:numId w:val="8"/>
        </w:numPr>
        <w:spacing w:line="360" w:lineRule="auto"/>
        <w:rPr>
          <w:color w:val="000000"/>
          <w:sz w:val="24"/>
          <w:highlight w:val="none"/>
        </w:rPr>
      </w:pPr>
      <w:r>
        <w:rPr>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color w:val="000000"/>
          <w:sz w:val="24"/>
          <w:highlight w:val="none"/>
        </w:rPr>
      </w:pPr>
      <w:r>
        <w:rPr>
          <w:rFonts w:hint="eastAsia"/>
          <w:b/>
          <w:color w:val="000000"/>
          <w:sz w:val="24"/>
          <w:highlight w:val="none"/>
        </w:rPr>
        <w:t xml:space="preserve">磋商文件</w:t>
      </w:r>
      <w:r>
        <w:rPr>
          <w:rFonts w:hint="eastAsia" w:ascii="宋体" w:hAnsi="宋体"/>
          <w:b/>
          <w:color w:val="000000"/>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028"/>
          <w:color w:val="000000"/>
          <w:highlight w:val="none"/>
        </w:rPr>
        <w:t xml:space="preserve">http://gk</w:t>
      </w:r>
      <w:bookmarkStart w:id="573" w:name="_Hlt100654014"/>
      <w:r>
        <w:rPr>
          <w:rStyle w:val="1028"/>
          <w:color w:val="000000"/>
          <w:highlight w:val="none"/>
        </w:rPr>
        <w:t xml:space="preserve">s</w:t>
      </w:r>
      <w:bookmarkEnd w:id="573"/>
      <w:r>
        <w:rPr>
          <w:rStyle w:val="1028"/>
          <w:color w:val="000000"/>
          <w:highlight w:val="none"/>
        </w:rPr>
        <w:t xml:space="preserve">.m</w:t>
      </w:r>
      <w:bookmarkStart w:id="574" w:name="_Hlt100653993"/>
      <w:r/>
      <w:bookmarkStart w:id="575" w:name="_Hlt100653994"/>
      <w:r>
        <w:rPr>
          <w:rStyle w:val="1028"/>
          <w:color w:val="000000"/>
          <w:highlight w:val="none"/>
        </w:rPr>
        <w:t xml:space="preserve">o</w:t>
      </w:r>
      <w:bookmarkEnd w:id="574"/>
      <w:r/>
      <w:bookmarkEnd w:id="575"/>
      <w:r/>
      <w:bookmarkStart w:id="576" w:name="_Hlt101169156"/>
      <w:r>
        <w:rPr>
          <w:rStyle w:val="1028"/>
          <w:color w:val="000000"/>
          <w:highlight w:val="none"/>
        </w:rPr>
        <w:t xml:space="preserve">f</w:t>
      </w:r>
      <w:bookmarkEnd w:id="576"/>
      <w:r>
        <w:rPr>
          <w:rStyle w:val="1028"/>
          <w:color w:val="000000"/>
          <w:highlight w:val="none"/>
        </w:rPr>
        <w:t xml:space="preserve">.gov.cn/ztztz/zhengfucaigouguanli/201802/t20180201_2804589.htm</w:t>
      </w:r>
      <w:r>
        <w:rPr>
          <w:color w:val="000000"/>
          <w:highlight w:val="none"/>
        </w:rPr>
        <w:fldChar w:fldCharType="end"/>
      </w:r>
      <w:r>
        <w:rPr>
          <w:rFonts w:hint="eastAsia"/>
          <w:color w:val="000000"/>
          <w:highlight w:val="none"/>
        </w:rPr>
        <w:t xml:space="preserve">）</w:t>
      </w:r>
      <w:r/>
    </w:p>
    <w:p>
      <w:pPr>
        <w:numPr>
          <w:ilvl w:val="2"/>
          <w:numId w:val="8"/>
        </w:numPr>
        <w:spacing w:line="360" w:lineRule="auto"/>
        <w:rPr>
          <w:color w:val="000000"/>
          <w:sz w:val="24"/>
          <w:highlight w:val="none"/>
        </w:rPr>
      </w:pPr>
      <w:r>
        <w:rPr>
          <w:color w:val="000000"/>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color w:val="000000"/>
          <w:sz w:val="24"/>
          <w:highlight w:val="none"/>
        </w:rPr>
      </w:pPr>
      <w:r>
        <w:rPr>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接收询问和质疑的联系部门、联系电话和通讯地址见《供应商须知资料表》</w:t>
      </w:r>
      <w:r>
        <w:rPr>
          <w:rFonts w:hint="eastAsia"/>
          <w:color w:val="000000"/>
          <w:sz w:val="24"/>
          <w:highlight w:val="none"/>
        </w:rPr>
        <w:t xml:space="preserve">。</w:t>
      </w:r>
      <w:r/>
    </w:p>
    <w:p>
      <w:pPr>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收费对象、收费标准及缴纳时间见《供应商须知资料表》。由成交供应商支付的，成交供应商须一次性向采购代理机构缴纳代理费，报价</w:t>
      </w:r>
      <w:r>
        <w:rPr>
          <w:rFonts w:hint="eastAsia"/>
          <w:color w:val="000000"/>
          <w:sz w:val="24"/>
          <w:highlight w:val="none"/>
          <w:lang w:eastAsia="zh-CN"/>
        </w:rPr>
        <w:t xml:space="preserve">中</w:t>
      </w:r>
      <w:r>
        <w:rPr>
          <w:color w:val="000000"/>
          <w:sz w:val="24"/>
          <w:highlight w:val="none"/>
        </w:rPr>
        <w:t xml:space="preserve">应</w:t>
      </w:r>
      <w:r>
        <w:rPr>
          <w:rFonts w:hint="eastAsia"/>
          <w:color w:val="000000"/>
          <w:sz w:val="24"/>
          <w:highlight w:val="none"/>
          <w:lang w:val="en-US" w:eastAsia="zh-CN"/>
        </w:rPr>
        <w:t xml:space="preserve">包含</w:t>
      </w:r>
      <w:r>
        <w:rPr>
          <w:rFonts w:hint="eastAsia"/>
          <w:color w:val="000000"/>
          <w:sz w:val="24"/>
          <w:highlight w:val="none"/>
          <w:lang w:eastAsia="zh-CN"/>
        </w:rPr>
        <w:t xml:space="preserve">此</w:t>
      </w:r>
      <w:r>
        <w:rPr>
          <w:color w:val="000000"/>
          <w:sz w:val="24"/>
          <w:highlight w:val="none"/>
        </w:rPr>
        <w:t xml:space="preserve">费用。</w:t>
      </w:r>
      <w:r/>
    </w:p>
    <w:p>
      <w:pPr>
        <w:numPr>
          <w:ilvl w:val="1"/>
          <w:numId w:val="8"/>
        </w:numPr>
        <w:ind w:left="1077" w:hanging="720"/>
        <w:spacing w:line="360" w:lineRule="auto"/>
        <w:tabs>
          <w:tab w:val="left" w:pos="1080" w:leader="none"/>
          <w:tab w:val="left" w:pos="2014" w:leader="none"/>
        </w:tabs>
        <w:rPr>
          <w:color w:val="000000"/>
          <w:sz w:val="24"/>
          <w:highlight w:val="none"/>
        </w:rPr>
        <w:sectPr>
          <w:footerReference w:type="even" r:id="rId13"/>
          <w:footnotePr/>
          <w:endnotePr/>
          <w:type w:val="nextPage"/>
          <w:pgSz w:w="11907" w:h="16840" w:orient="portrait"/>
          <w:pgMar w:top="1440" w:right="1304" w:bottom="1440" w:left="1304" w:header="851" w:footer="851" w:gutter="0"/>
          <w:cols w:num="1" w:sep="0" w:space="1701" w:equalWidth="1"/>
          <w:docGrid w:linePitch="360"/>
        </w:sectPr>
      </w:pPr>
      <w:r/>
      <w:bookmarkStart w:id="577" w:name="_Toc353873934"/>
      <w:r/>
      <w:bookmarkStart w:id="578" w:name="_Toc127151554"/>
      <w:r/>
      <w:bookmarkStart w:id="579" w:name="_Toc226337250"/>
      <w:r/>
      <w:bookmarkStart w:id="580" w:name="_Toc353825544"/>
      <w:r/>
      <w:bookmarkStart w:id="581" w:name="_Toc150480792"/>
      <w:r/>
      <w:bookmarkStart w:id="582" w:name="_Toc265228392"/>
      <w:r/>
      <w:bookmarkStart w:id="583" w:name="_Toc305158822"/>
      <w:r/>
      <w:bookmarkStart w:id="584" w:name="_Toc353873664"/>
      <w:r/>
      <w:bookmarkStart w:id="585" w:name="_Toc305158896"/>
      <w:r/>
      <w:bookmarkStart w:id="586" w:name="_Toc226965827"/>
      <w:r/>
      <w:bookmarkStart w:id="587" w:name="_Toc150774759"/>
      <w:r/>
      <w:bookmarkStart w:id="588" w:name="_Toc264969244"/>
      <w:r/>
      <w:bookmarkStart w:id="589" w:name="_Toc142311056"/>
      <w:r/>
      <w:r/>
    </w:p>
    <w:p>
      <w:pPr>
        <w:jc w:val="center"/>
        <w:spacing w:line="360" w:lineRule="auto"/>
        <w:rPr>
          <w:b/>
          <w:color w:val="000000"/>
          <w:sz w:val="36"/>
          <w:szCs w:val="36"/>
          <w:highlight w:val="none"/>
        </w:rPr>
        <w:outlineLvl w:val="0"/>
      </w:pPr>
      <w:r/>
      <w:bookmarkStart w:id="590" w:name="_Toc104818927"/>
      <w:r>
        <w:rPr>
          <w:b/>
          <w:color w:val="000000"/>
          <w:sz w:val="36"/>
          <w:szCs w:val="36"/>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590"/>
      <w:r/>
      <w:bookmarkStart w:id="591" w:name="_Toc487900382"/>
      <w:r/>
      <w:r/>
    </w:p>
    <w:p>
      <w:pPr>
        <w:pStyle w:val="953"/>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w:t>
      </w:r>
      <w:r>
        <w:rPr>
          <w:rFonts w:hint="eastAsia" w:ascii="Times New Roman" w:hAnsi="Times New Roman" w:eastAsia="宋体"/>
          <w:color w:val="000000"/>
          <w:sz w:val="24"/>
          <w:szCs w:val="24"/>
          <w:highlight w:val="none"/>
        </w:rPr>
        <w:t xml:space="preserve">评审</w:t>
      </w:r>
      <w:r>
        <w:rPr>
          <w:rFonts w:ascii="Times New Roman" w:hAnsi="Times New Roman" w:eastAsia="宋体"/>
          <w:color w:val="000000"/>
          <w:sz w:val="24"/>
          <w:szCs w:val="24"/>
          <w:highlight w:val="none"/>
        </w:rPr>
        <w:t xml:space="preserve">程序</w:t>
      </w:r>
      <w:r/>
    </w:p>
    <w:p>
      <w:pPr>
        <w:jc w:val="left"/>
        <w:tabs>
          <w:tab w:val="left" w:pos="1080" w:leader="none"/>
        </w:tabs>
        <w:rPr>
          <w:b/>
          <w:color w:val="000000"/>
          <w:sz w:val="24"/>
          <w:highlight w:val="none"/>
        </w:rPr>
      </w:pPr>
      <w:r>
        <w:rPr>
          <w:b/>
          <w:color w:val="000000"/>
          <w:sz w:val="24"/>
          <w:highlight w:val="none"/>
        </w:rPr>
        <w:tab/>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r/>
    </w:p>
    <w:p>
      <w:pPr>
        <w:numPr>
          <w:ilvl w:val="0"/>
          <w:numId w:val="10"/>
        </w:numPr>
        <w:spacing w:line="360" w:lineRule="auto"/>
        <w:tabs>
          <w:tab w:val="left" w:pos="360" w:leader="none"/>
        </w:tabs>
        <w:rPr>
          <w:color w:val="000000"/>
          <w:sz w:val="24"/>
          <w:highlight w:val="none"/>
        </w:rPr>
        <w:outlineLvl w:val="1"/>
      </w:pPr>
      <w:r/>
      <w:bookmarkStart w:id="592" w:name="_Toc164229382"/>
      <w:r/>
      <w:bookmarkStart w:id="593" w:name="_Toc226965731"/>
      <w:r/>
      <w:bookmarkStart w:id="594" w:name="_Toc164229236"/>
      <w:r/>
      <w:bookmarkStart w:id="595" w:name="_Toc151193855"/>
      <w:r/>
      <w:bookmarkStart w:id="596" w:name="_Toc164608655"/>
      <w:r/>
      <w:bookmarkStart w:id="597" w:name="_Toc195842906"/>
      <w:r/>
      <w:bookmarkStart w:id="598" w:name="_Toc150509292"/>
      <w:r/>
      <w:bookmarkStart w:id="599" w:name="_Toc149720834"/>
      <w:r/>
      <w:bookmarkStart w:id="600" w:name="_Toc226965814"/>
      <w:r/>
      <w:bookmarkStart w:id="601" w:name="_Toc151193783"/>
      <w:r/>
      <w:bookmarkStart w:id="602" w:name="_Toc150774746"/>
      <w:r/>
      <w:bookmarkStart w:id="603" w:name="_Toc164608810"/>
      <w:r/>
      <w:bookmarkStart w:id="604" w:name="_Toc305158883"/>
      <w:r/>
      <w:bookmarkStart w:id="605" w:name="_Toc226337237"/>
      <w:r/>
      <w:bookmarkStart w:id="606" w:name="_Toc151193711"/>
      <w:r/>
      <w:bookmarkStart w:id="607" w:name="_Toc150774641"/>
      <w:r/>
      <w:bookmarkStart w:id="608" w:name="_Toc127151742"/>
      <w:r/>
      <w:bookmarkStart w:id="609" w:name="_Toc142311043"/>
      <w:r/>
      <w:bookmarkStart w:id="610" w:name="_Toc151193929"/>
      <w:r/>
      <w:bookmarkStart w:id="611" w:name="_Toc305158809"/>
      <w:r/>
      <w:bookmarkStart w:id="612" w:name="_Toc150480779"/>
      <w:r/>
      <w:bookmarkStart w:id="613" w:name="_Toc226309785"/>
      <w:r/>
      <w:bookmarkStart w:id="614" w:name="_Toc164351635"/>
      <w:r/>
      <w:bookmarkStart w:id="615" w:name="_Toc264969231"/>
      <w:r/>
      <w:bookmarkStart w:id="616" w:name="_Toc151190168"/>
      <w:r/>
      <w:bookmarkStart w:id="617" w:name="_Toc127151541"/>
      <w:r/>
      <w:bookmarkStart w:id="618" w:name="_Toc127161455"/>
      <w:r/>
      <w:bookmarkStart w:id="619" w:name="_Toc265228379"/>
      <w:r/>
      <w:bookmarkStart w:id="620" w:name="_Toc151193639"/>
      <w:r/>
      <w:bookmarkStart w:id="621" w:name="_Toc353825551"/>
      <w:r/>
      <w:bookmarkStart w:id="622" w:name="_Toc353873941"/>
      <w:r/>
      <w:bookmarkStart w:id="623" w:name="_Toc353873665"/>
      <w:r/>
      <w:bookmarkStart w:id="624" w:name="_Toc305158823"/>
      <w:r/>
      <w:bookmarkStart w:id="625" w:name="_Toc142311057"/>
      <w:r/>
      <w:bookmarkStart w:id="626" w:name="_Toc127151555"/>
      <w:r/>
      <w:bookmarkStart w:id="627" w:name="_Toc353873935"/>
      <w:r/>
      <w:bookmarkStart w:id="628" w:name="_Toc226965828"/>
      <w:r/>
      <w:bookmarkStart w:id="629" w:name="_Toc265228393"/>
      <w:r/>
      <w:bookmarkStart w:id="630" w:name="_Toc150480793"/>
      <w:r/>
      <w:bookmarkStart w:id="631" w:name="_Toc195842920"/>
      <w:r/>
      <w:bookmarkStart w:id="632" w:name="_Toc353825545"/>
      <w:r/>
      <w:bookmarkStart w:id="633" w:name="_Toc226337251"/>
      <w:r/>
      <w:bookmarkStart w:id="634" w:name="_Toc150774760"/>
      <w:r/>
      <w:bookmarkStart w:id="635" w:name="_Toc305158897"/>
      <w:r/>
      <w:bookmarkStart w:id="636" w:name="_Toc264969245"/>
      <w:r>
        <w:rPr>
          <w:color w:val="000000"/>
          <w:sz w:val="24"/>
          <w:highlight w:val="none"/>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color w:val="000000"/>
          <w:sz w:val="24"/>
          <w:highlight w:val="none"/>
        </w:rPr>
        <w:t xml:space="preserve">资格性检查和符合性审查</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highlight w:val="none"/>
        </w:rPr>
        <w:t xml:space="preserve">无效响应</w:t>
      </w:r>
      <w:r>
        <w:rPr>
          <w:color w:val="000000"/>
          <w:sz w:val="24"/>
          <w:highlight w:val="none"/>
        </w:rPr>
        <w:t xml:space="preserve">处理，磋商小组应当告知提交响应文件的供应商。</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《资格性检查要求》中对格式有要求的，除竞争性磋商文件另有规定外，均为“实质性格式”文件。</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《资格性检查要求》见下表：</w:t>
      </w:r>
      <w:r/>
    </w:p>
    <w:p>
      <w:pPr>
        <w:ind w:left="1077" w:firstLine="2650"/>
        <w:spacing w:line="360" w:lineRule="auto"/>
        <w:tabs>
          <w:tab w:val="left" w:pos="900" w:leader="none"/>
          <w:tab w:val="left" w:pos="1080" w:leader="none"/>
        </w:tabs>
        <w:rPr>
          <w:b/>
          <w:color w:val="000000"/>
          <w:sz w:val="24"/>
          <w:highlight w:val="none"/>
        </w:rPr>
      </w:pPr>
      <w:r>
        <w:rPr>
          <w:b/>
          <w:color w:val="000000"/>
          <w:sz w:val="24"/>
          <w:highlight w:val="none"/>
        </w:rPr>
        <w:t xml:space="preserve">资格性检查要求</w:t>
      </w:r>
      <w:r/>
    </w:p>
    <w:tbl>
      <w:tblPr>
        <w:tblStyle w:val="78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dxa"/>
            <w:vAlign w:val="center"/>
            <w:textDirection w:val="lrTb"/>
            <w:noWrap w:val="false"/>
          </w:tcPr>
          <w:p>
            <w:pPr>
              <w:jc w:val="center"/>
              <w:tabs>
                <w:tab w:val="left" w:pos="1080" w:leader="none"/>
              </w:tabs>
              <w:rPr>
                <w:b/>
                <w:color w:val="000000"/>
                <w:sz w:val="24"/>
                <w:highlight w:val="none"/>
              </w:rPr>
            </w:pPr>
            <w:r/>
            <w:bookmarkStart w:id="637" w:name="_Hlt487972895"/>
            <w:r/>
            <w:bookmarkEnd w:id="637"/>
            <w:r>
              <w:rPr>
                <w:b/>
                <w:color w:val="000000"/>
                <w:sz w:val="24"/>
                <w:highlight w:val="none"/>
              </w:rPr>
              <w:t xml:space="preserve">序号</w:t>
            </w:r>
            <w:r/>
          </w:p>
        </w:tc>
        <w:tc>
          <w:tcPr>
            <w:tcW w:w="1014" w:type="dxa"/>
            <w:vAlign w:val="center"/>
            <w:textDirection w:val="lrTb"/>
            <w:noWrap w:val="false"/>
          </w:tcPr>
          <w:p>
            <w:pPr>
              <w:jc w:val="center"/>
              <w:tabs>
                <w:tab w:val="left" w:pos="1080" w:leader="none"/>
              </w:tabs>
              <w:rPr>
                <w:b/>
                <w:color w:val="000000"/>
                <w:sz w:val="24"/>
                <w:highlight w:val="none"/>
              </w:rPr>
            </w:pPr>
            <w:r>
              <w:rPr>
                <w:b/>
                <w:color w:val="000000"/>
                <w:sz w:val="24"/>
                <w:highlight w:val="none"/>
              </w:rPr>
              <w:t xml:space="preserve">审查因素</w:t>
            </w:r>
            <w:r/>
          </w:p>
        </w:tc>
        <w:tc>
          <w:tcPr>
            <w:tcW w:w="2636" w:type="dxa"/>
            <w:vAlign w:val="center"/>
            <w:textDirection w:val="lrTb"/>
            <w:noWrap w:val="false"/>
          </w:tcPr>
          <w:p>
            <w:pPr>
              <w:jc w:val="center"/>
              <w:tabs>
                <w:tab w:val="left" w:pos="1080" w:leader="none"/>
              </w:tabs>
              <w:rPr>
                <w:b/>
                <w:color w:val="000000"/>
                <w:sz w:val="24"/>
                <w:highlight w:val="none"/>
              </w:rPr>
            </w:pPr>
            <w:r>
              <w:rPr>
                <w:b/>
                <w:color w:val="000000"/>
                <w:sz w:val="24"/>
                <w:highlight w:val="none"/>
              </w:rPr>
              <w:t xml:space="preserve">审查内容</w:t>
            </w:r>
            <w:r/>
          </w:p>
        </w:tc>
        <w:tc>
          <w:tcPr>
            <w:tcW w:w="973" w:type="dxa"/>
            <w:vAlign w:val="center"/>
            <w:textDirection w:val="lrTb"/>
            <w:noWrap w:val="false"/>
          </w:tcPr>
          <w:p>
            <w:pPr>
              <w:jc w:val="center"/>
              <w:tabs>
                <w:tab w:val="left" w:pos="1080" w:leader="none"/>
              </w:tabs>
              <w:rPr>
                <w:b/>
                <w:color w:val="000000"/>
                <w:sz w:val="24"/>
                <w:highlight w:val="none"/>
              </w:rPr>
            </w:pPr>
            <w:r>
              <w:rPr>
                <w:b/>
                <w:color w:val="000000"/>
                <w:sz w:val="24"/>
                <w:highlight w:val="none"/>
              </w:rPr>
              <w:t xml:space="preserve">格式要求</w:t>
            </w:r>
            <w:r/>
          </w:p>
        </w:tc>
      </w:tr>
      <w:tr>
        <w:trPr>
          <w:cantSplit/>
          <w:trHeight w:val="20"/>
        </w:trPr>
        <w:tc>
          <w:tcPr>
            <w:tcW w:w="375" w:type="dxa"/>
            <w:vAlign w:val="center"/>
            <w:textDirection w:val="lrTb"/>
            <w:noWrap w:val="false"/>
          </w:tcPr>
          <w:p>
            <w:pPr>
              <w:jc w:val="center"/>
              <w:tabs>
                <w:tab w:val="left" w:pos="1080" w:leader="none"/>
              </w:tabs>
              <w:rPr>
                <w:color w:val="000000"/>
                <w:sz w:val="24"/>
                <w:highlight w:val="none"/>
              </w:rPr>
            </w:pPr>
            <w:r>
              <w:rPr>
                <w:color w:val="000000"/>
                <w:sz w:val="24"/>
                <w:highlight w:val="none"/>
              </w:rPr>
              <w:t xml:space="preserve">1</w:t>
            </w:r>
            <w:r/>
          </w:p>
        </w:tc>
        <w:tc>
          <w:tcPr>
            <w:tcW w:w="1014" w:type="dxa"/>
            <w:vAlign w:val="center"/>
            <w:textDirection w:val="lrTb"/>
            <w:noWrap w:val="false"/>
          </w:tcPr>
          <w:p>
            <w:pPr>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p>
        </w:tc>
        <w:tc>
          <w:tcPr>
            <w:tcW w:w="2636" w:type="dxa"/>
            <w:vAlign w:val="center"/>
            <w:textDirection w:val="lrTb"/>
            <w:noWrap w:val="false"/>
          </w:tcPr>
          <w:p>
            <w:pPr>
              <w:tabs>
                <w:tab w:val="left" w:pos="1080" w:leader="none"/>
              </w:tabs>
              <w:rPr>
                <w:color w:val="000000"/>
                <w:sz w:val="24"/>
                <w:highlight w:val="none"/>
              </w:rPr>
            </w:pPr>
            <w:r>
              <w:rPr>
                <w:color w:val="000000"/>
                <w:sz w:val="24"/>
                <w:highlight w:val="none"/>
              </w:rPr>
              <w:t xml:space="preserve">具体规定见第一章《采购邀请》</w:t>
            </w:r>
            <w:r/>
          </w:p>
        </w:tc>
        <w:tc>
          <w:tcPr>
            <w:tcW w:w="973" w:type="dxa"/>
            <w:vAlign w:val="center"/>
            <w:textDirection w:val="lrTb"/>
            <w:noWrap w:val="false"/>
          </w:tcPr>
          <w:p>
            <w:pPr>
              <w:tabs>
                <w:tab w:val="left" w:pos="1080" w:leader="none"/>
              </w:tabs>
              <w:rPr>
                <w:color w:val="000000"/>
                <w:sz w:val="24"/>
                <w:highlight w:val="none"/>
              </w:rPr>
            </w:pPr>
            <w:r>
              <w:rPr>
                <w:color w:val="000000"/>
                <w:sz w:val="24"/>
                <w:highlight w:val="none"/>
              </w:rPr>
            </w:r>
            <w:r/>
          </w:p>
        </w:tc>
      </w:tr>
      <w:tr>
        <w:trPr>
          <w:cantSplit/>
          <w:trHeight w:val="468"/>
        </w:trPr>
        <w:tc>
          <w:tcPr>
            <w:tcW w:w="375" w:type="dxa"/>
            <w:vAlign w:val="center"/>
            <w:textDirection w:val="lrTb"/>
            <w:noWrap w:val="false"/>
          </w:tcPr>
          <w:p>
            <w:pPr>
              <w:jc w:val="center"/>
              <w:tabs>
                <w:tab w:val="left" w:pos="1080" w:leader="none"/>
              </w:tabs>
              <w:rPr>
                <w:color w:val="000000"/>
                <w:sz w:val="24"/>
                <w:highlight w:val="none"/>
              </w:rPr>
            </w:pPr>
            <w:r>
              <w:rPr>
                <w:color w:val="000000"/>
                <w:sz w:val="24"/>
                <w:highlight w:val="none"/>
              </w:rPr>
              <w:t xml:space="preserve">1-1</w:t>
            </w:r>
            <w:r/>
          </w:p>
        </w:tc>
        <w:tc>
          <w:tcPr>
            <w:tcW w:w="1014" w:type="dxa"/>
            <w:vAlign w:val="center"/>
            <w:textDirection w:val="lrTb"/>
            <w:noWrap w:val="false"/>
          </w:tcPr>
          <w:p>
            <w:pPr>
              <w:tabs>
                <w:tab w:val="left" w:pos="1080" w:leader="none"/>
              </w:tabs>
              <w:rPr>
                <w:color w:val="000000"/>
                <w:sz w:val="24"/>
                <w:highlight w:val="none"/>
              </w:rPr>
            </w:pPr>
            <w:r>
              <w:rPr>
                <w:rFonts w:hint="eastAsia"/>
                <w:color w:val="000000"/>
                <w:sz w:val="24"/>
                <w:highlight w:val="none"/>
              </w:rPr>
              <w:t xml:space="preserve">供应商资格声明函</w:t>
            </w:r>
            <w:r/>
          </w:p>
        </w:tc>
        <w:tc>
          <w:tcPr>
            <w:tcW w:w="2636" w:type="dxa"/>
            <w:vAlign w:val="center"/>
            <w:textDirection w:val="lrTb"/>
            <w:noWrap w:val="false"/>
          </w:tcPr>
          <w:p>
            <w:pPr>
              <w:tabs>
                <w:tab w:val="left" w:pos="1080" w:leader="none"/>
              </w:tabs>
              <w:rPr>
                <w:color w:val="000000"/>
                <w:sz w:val="24"/>
                <w:highlight w:val="none"/>
              </w:rPr>
            </w:pPr>
            <w:r>
              <w:rPr>
                <w:color w:val="000000"/>
                <w:sz w:val="24"/>
                <w:highlight w:val="none"/>
              </w:rPr>
              <w:t xml:space="preserve">提供了符合</w:t>
            </w:r>
            <w:r>
              <w:rPr>
                <w:rFonts w:hint="eastAsia"/>
                <w:color w:val="000000"/>
                <w:sz w:val="24"/>
                <w:highlight w:val="none"/>
              </w:rPr>
              <w:t xml:space="preserve">采购</w:t>
            </w:r>
            <w:r>
              <w:rPr>
                <w:color w:val="000000"/>
                <w:sz w:val="24"/>
                <w:highlight w:val="none"/>
              </w:rPr>
              <w:t xml:space="preserve">文件要求的《</w:t>
            </w:r>
            <w:r>
              <w:rPr>
                <w:rFonts w:hint="eastAsia"/>
                <w:color w:val="000000"/>
                <w:sz w:val="24"/>
                <w:highlight w:val="none"/>
              </w:rPr>
              <w:t xml:space="preserve">供应商资格声明函</w:t>
            </w:r>
            <w:r>
              <w:rPr>
                <w:color w:val="000000"/>
                <w:sz w:val="24"/>
                <w:highlight w:val="none"/>
              </w:rPr>
              <w:t xml:space="preserve">》。</w:t>
            </w:r>
            <w:r/>
          </w:p>
        </w:tc>
        <w:tc>
          <w:tcPr>
            <w:tcW w:w="973" w:type="dxa"/>
            <w:vAlign w:val="center"/>
            <w:textDirection w:val="lrTb"/>
            <w:noWrap w:val="false"/>
          </w:tcPr>
          <w:p>
            <w:pPr>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p>
        </w:tc>
      </w:tr>
      <w:tr>
        <w:trPr>
          <w:cantSplit/>
          <w:trHeight w:val="20"/>
        </w:trPr>
        <w:tc>
          <w:tcPr>
            <w:tcW w:w="375" w:type="dxa"/>
            <w:vAlign w:val="center"/>
            <w:textDirection w:val="lrTb"/>
            <w:noWrap w:val="false"/>
          </w:tcPr>
          <w:p>
            <w:pPr>
              <w:jc w:val="center"/>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w:t>
            </w:r>
            <w:r>
              <w:rPr>
                <w:rFonts w:hint="eastAsia"/>
                <w:color w:val="000000"/>
                <w:sz w:val="24"/>
                <w:highlight w:val="none"/>
              </w:rPr>
              <w:t xml:space="preserve">2</w:t>
            </w:r>
            <w:r/>
          </w:p>
        </w:tc>
        <w:tc>
          <w:tcPr>
            <w:tcW w:w="1014" w:type="dxa"/>
            <w:vAlign w:val="center"/>
            <w:textDirection w:val="lrTb"/>
            <w:noWrap w:val="false"/>
          </w:tcPr>
          <w:p>
            <w:pPr>
              <w:tabs>
                <w:tab w:val="left" w:pos="1080" w:leader="none"/>
              </w:tabs>
              <w:rPr>
                <w:color w:val="000000"/>
                <w:sz w:val="24"/>
                <w:highlight w:val="none"/>
              </w:rPr>
            </w:pPr>
            <w:r>
              <w:rPr>
                <w:color w:val="000000"/>
                <w:sz w:val="24"/>
                <w:highlight w:val="none"/>
              </w:rPr>
              <w:t xml:space="preserve">供应商信用记录</w:t>
            </w:r>
            <w:r/>
          </w:p>
        </w:tc>
        <w:tc>
          <w:tcPr>
            <w:tcW w:w="2636" w:type="dxa"/>
            <w:vAlign w:val="center"/>
            <w:textDirection w:val="lrTb"/>
            <w:noWrap w:val="false"/>
          </w:tcPr>
          <w:p>
            <w:pPr>
              <w:tabs>
                <w:tab w:val="left" w:pos="900" w:leader="none"/>
                <w:tab w:val="left" w:pos="1980" w:leader="none"/>
              </w:tabs>
              <w:rPr>
                <w:color w:val="000000"/>
                <w:sz w:val="24"/>
                <w:highlight w:val="none"/>
              </w:rPr>
            </w:pPr>
            <w:r>
              <w:rPr>
                <w:color w:val="000000"/>
                <w:sz w:val="24"/>
                <w:highlight w:val="none"/>
              </w:rPr>
              <w:t xml:space="preserve">查询渠道：信用中国网站和中国政府采购网（www.creditchina.gov.cn、www.ccgp.gov.cn）；</w:t>
            </w:r>
            <w:r/>
          </w:p>
          <w:p>
            <w:pPr>
              <w:tabs>
                <w:tab w:val="left" w:pos="900" w:leader="none"/>
                <w:tab w:val="left" w:pos="1980" w:leader="none"/>
              </w:tabs>
              <w:rPr>
                <w:color w:val="000000"/>
                <w:sz w:val="24"/>
                <w:highlight w:val="none"/>
              </w:rPr>
            </w:pPr>
            <w:r>
              <w:rPr>
                <w:color w:val="000000"/>
                <w:sz w:val="24"/>
                <w:highlight w:val="none"/>
              </w:rPr>
              <w:t xml:space="preserve">截止时点：提交响应文件截止时间以后、</w:t>
            </w:r>
            <w:r>
              <w:rPr>
                <w:rFonts w:hint="eastAsia"/>
                <w:color w:val="000000"/>
                <w:sz w:val="24"/>
                <w:highlight w:val="none"/>
              </w:rPr>
              <w:t xml:space="preserve">资格审查阶段采购人或采购代理机构</w:t>
            </w:r>
            <w:r>
              <w:rPr>
                <w:color w:val="000000"/>
                <w:sz w:val="24"/>
                <w:highlight w:val="none"/>
              </w:rPr>
              <w:t xml:space="preserve">的实际查询时间；</w:t>
            </w:r>
            <w:r/>
          </w:p>
          <w:p>
            <w:pPr>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信用信息查询记录和证据留存具体方式：查询结果网页打印页作为查询记录和证据，与其他采购文件一并保存；</w:t>
            </w:r>
            <w:r/>
          </w:p>
          <w:p>
            <w:pPr>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信用信息的使用原则：经认定的被列入失信被执行人、重大税收违法案件当事人名单、政府采购严重违法失信行为记录名单的供应商，其</w:t>
            </w:r>
            <w:r>
              <w:rPr>
                <w:b/>
                <w:color w:val="000000"/>
                <w:sz w:val="24"/>
                <w:highlight w:val="none"/>
              </w:rPr>
              <w:t xml:space="preserve">响应无效</w:t>
            </w:r>
            <w:r>
              <w:rPr>
                <w:color w:val="000000"/>
                <w:sz w:val="24"/>
                <w:highlight w:val="none"/>
              </w:rPr>
              <w:t xml:space="preserve">。联合体形式响应的，联合体成员存在不良信用记录，视同联合体存在不良信用记录。</w:t>
            </w:r>
            <w:r/>
          </w:p>
        </w:tc>
        <w:tc>
          <w:tcPr>
            <w:tcW w:w="973" w:type="dxa"/>
            <w:vAlign w:val="center"/>
            <w:textDirection w:val="lrTb"/>
            <w:noWrap w:val="false"/>
          </w:tcPr>
          <w:p>
            <w:pPr>
              <w:tabs>
                <w:tab w:val="left" w:pos="1080" w:leader="none"/>
              </w:tabs>
              <w:rPr>
                <w:color w:val="000000"/>
                <w:sz w:val="24"/>
                <w:highlight w:val="none"/>
              </w:rPr>
            </w:pPr>
            <w:r>
              <w:rPr>
                <w:color w:val="000000"/>
                <w:sz w:val="24"/>
                <w:highlight w:val="none"/>
              </w:rPr>
              <w:t xml:space="preserve">无须供应商提供，由采购人查询。</w:t>
            </w:r>
            <w:r/>
          </w:p>
        </w:tc>
      </w:tr>
      <w:tr>
        <w:trPr>
          <w:cantSplit/>
          <w:trHeight w:val="20"/>
        </w:trPr>
        <w:tc>
          <w:tcPr>
            <w:tcW w:w="375" w:type="dxa"/>
            <w:vAlign w:val="center"/>
            <w:textDirection w:val="lrTb"/>
            <w:noWrap w:val="false"/>
          </w:tcPr>
          <w:p>
            <w:pPr>
              <w:jc w:val="center"/>
              <w:tabs>
                <w:tab w:val="left" w:pos="1080" w:leader="none"/>
              </w:tabs>
              <w:rPr>
                <w:color w:val="000000"/>
                <w:sz w:val="24"/>
                <w:highlight w:val="none"/>
              </w:rPr>
            </w:pPr>
            <w:r>
              <w:rPr>
                <w:color w:val="000000"/>
                <w:sz w:val="24"/>
                <w:highlight w:val="none"/>
              </w:rPr>
              <w:t xml:space="preserve">2</w:t>
            </w:r>
            <w:r/>
          </w:p>
        </w:tc>
        <w:tc>
          <w:tcPr>
            <w:tcW w:w="1014" w:type="dxa"/>
            <w:vAlign w:val="center"/>
            <w:textDirection w:val="lrTb"/>
            <w:noWrap w:val="false"/>
          </w:tcPr>
          <w:p>
            <w:pPr>
              <w:tabs>
                <w:tab w:val="left" w:pos="1080" w:leader="none"/>
              </w:tabs>
              <w:rPr>
                <w:color w:val="000000"/>
                <w:sz w:val="24"/>
                <w:highlight w:val="none"/>
              </w:rPr>
            </w:pPr>
            <w:r>
              <w:rPr>
                <w:color w:val="000000"/>
                <w:sz w:val="24"/>
                <w:highlight w:val="none"/>
              </w:rPr>
              <w:t xml:space="preserve">落实政府采购政策需满足的资格要求</w:t>
            </w:r>
            <w:r/>
          </w:p>
        </w:tc>
        <w:tc>
          <w:tcPr>
            <w:tcW w:w="2636" w:type="dxa"/>
            <w:vAlign w:val="center"/>
            <w:textDirection w:val="lrTb"/>
            <w:noWrap w:val="false"/>
          </w:tcPr>
          <w:p>
            <w:pPr>
              <w:tabs>
                <w:tab w:val="left" w:pos="1080" w:leader="none"/>
              </w:tabs>
              <w:rPr>
                <w:color w:val="000000"/>
                <w:sz w:val="24"/>
                <w:highlight w:val="none"/>
              </w:rPr>
            </w:pPr>
            <w:r>
              <w:rPr>
                <w:color w:val="000000"/>
                <w:sz w:val="24"/>
                <w:highlight w:val="none"/>
              </w:rPr>
              <w:t xml:space="preserve">具体要求见第一章《采购邀请》</w:t>
            </w:r>
            <w:r/>
          </w:p>
        </w:tc>
        <w:tc>
          <w:tcPr>
            <w:tcW w:w="973" w:type="dxa"/>
            <w:vAlign w:val="center"/>
            <w:textDirection w:val="lrTb"/>
            <w:noWrap w:val="false"/>
          </w:tcPr>
          <w:p>
            <w:pPr>
              <w:tabs>
                <w:tab w:val="left" w:pos="1080" w:leader="none"/>
              </w:tabs>
              <w:rPr>
                <w:color w:val="000000"/>
                <w:sz w:val="24"/>
                <w:highlight w:val="none"/>
              </w:rPr>
            </w:pPr>
            <w:r>
              <w:rPr>
                <w:color w:val="000000"/>
                <w:sz w:val="24"/>
                <w:highlight w:val="none"/>
              </w:rPr>
            </w:r>
            <w:r/>
          </w:p>
        </w:tc>
      </w:tr>
      <w:tr>
        <w:trPr>
          <w:cantSplit/>
          <w:trHeight w:val="20"/>
        </w:trPr>
        <w:tc>
          <w:tcPr>
            <w:tcW w:w="375" w:type="dxa"/>
            <w:vAlign w:val="center"/>
            <w:textDirection w:val="lrTb"/>
            <w:noWrap w:val="false"/>
          </w:tcPr>
          <w:p>
            <w:pPr>
              <w:jc w:val="center"/>
              <w:tabs>
                <w:tab w:val="left" w:pos="1080" w:leader="none"/>
              </w:tabs>
              <w:rPr>
                <w:color w:val="000000"/>
                <w:sz w:val="24"/>
                <w:highlight w:val="none"/>
              </w:rPr>
            </w:pPr>
            <w:r>
              <w:rPr>
                <w:color w:val="000000"/>
                <w:sz w:val="24"/>
                <w:highlight w:val="none"/>
              </w:rPr>
              <w:t xml:space="preserve">2-1</w:t>
            </w:r>
            <w:r/>
          </w:p>
        </w:tc>
        <w:tc>
          <w:tcPr>
            <w:tcW w:w="1014" w:type="dxa"/>
            <w:vAlign w:val="center"/>
            <w:textDirection w:val="lrTb"/>
            <w:noWrap w:val="false"/>
          </w:tcPr>
          <w:p>
            <w:pPr>
              <w:tabs>
                <w:tab w:val="left" w:pos="1080" w:leader="none"/>
              </w:tabs>
              <w:rPr>
                <w:color w:val="000000"/>
                <w:sz w:val="24"/>
                <w:highlight w:val="none"/>
              </w:rPr>
            </w:pPr>
            <w:r>
              <w:rPr>
                <w:color w:val="000000"/>
                <w:sz w:val="24"/>
                <w:highlight w:val="none"/>
              </w:rPr>
              <w:t xml:space="preserve">中小企业声明函</w:t>
            </w:r>
            <w:r/>
          </w:p>
        </w:tc>
        <w:tc>
          <w:tcPr>
            <w:tcW w:w="2636" w:type="dxa"/>
            <w:vAlign w:val="center"/>
            <w:textDirection w:val="lrTb"/>
            <w:noWrap w:val="false"/>
          </w:tcPr>
          <w:p>
            <w:pPr>
              <w:tabs>
                <w:tab w:val="left" w:pos="1080" w:leader="none"/>
              </w:tabs>
              <w:rPr>
                <w:bCs/>
                <w:color w:val="000000"/>
                <w:sz w:val="24"/>
                <w:highlight w:val="none"/>
              </w:rPr>
            </w:pPr>
            <w:r>
              <w:rPr>
                <w:rFonts w:hint="eastAsia"/>
                <w:bCs/>
                <w:color w:val="000000"/>
                <w:sz w:val="24"/>
                <w:highlight w:val="none"/>
              </w:rPr>
              <w:t xml:space="preserve">1、供应商</w:t>
            </w:r>
            <w:r>
              <w:rPr>
                <w:rFonts w:hint="eastAsia"/>
                <w:bCs/>
                <w:color w:val="000000"/>
                <w:sz w:val="24"/>
                <w:highlight w:val="none"/>
                <w:lang w:val="en-US" w:eastAsia="zh-CN"/>
              </w:rPr>
              <w:t xml:space="preserve">中小企业的</w:t>
            </w:r>
            <w:r>
              <w:rPr>
                <w:rFonts w:hint="eastAsia"/>
                <w:bCs/>
                <w:color w:val="000000"/>
                <w:sz w:val="24"/>
                <w:highlight w:val="none"/>
              </w:rPr>
              <w:t xml:space="preserve">，应提供中小企业声明函；如为监狱企业或残疾人福利性单位，不必提供中小企业声明函，但须按注1或注2要求提供证明材料。</w:t>
            </w:r>
            <w:r/>
          </w:p>
          <w:p>
            <w:pPr>
              <w:tabs>
                <w:tab w:val="left" w:pos="1080" w:leader="none"/>
              </w:tabs>
              <w:rPr>
                <w:bCs/>
                <w:color w:val="000000"/>
                <w:sz w:val="24"/>
                <w:highlight w:val="none"/>
              </w:rPr>
            </w:pPr>
            <w:r>
              <w:rPr>
                <w:rFonts w:hint="eastAsia"/>
                <w:bCs/>
                <w:color w:val="000000"/>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bCs/>
                <w:color w:val="000000"/>
                <w:sz w:val="24"/>
                <w:highlight w:val="none"/>
              </w:rPr>
            </w:pPr>
            <w:r>
              <w:rPr>
                <w:rFonts w:hint="eastAsia"/>
                <w:bCs/>
                <w:color w:val="000000"/>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b/>
                <w:color w:val="000000"/>
                <w:sz w:val="24"/>
                <w:highlight w:val="none"/>
              </w:rPr>
            </w:pPr>
            <w:r>
              <w:rPr>
                <w:rFonts w:hint="eastAsia"/>
                <w:bCs/>
                <w:color w:val="000000"/>
                <w:sz w:val="24"/>
                <w:highlight w:val="none"/>
              </w:rPr>
              <w:t xml:space="preserve">注2：残疾人福利性单位须按磋商文件要求提供《残疾人福利性单位声明函》。</w:t>
            </w:r>
            <w:r/>
          </w:p>
        </w:tc>
        <w:tc>
          <w:tcPr>
            <w:tcW w:w="973" w:type="dxa"/>
            <w:vAlign w:val="center"/>
            <w:textDirection w:val="lrTb"/>
            <w:noWrap w:val="false"/>
          </w:tcPr>
          <w:p>
            <w:pPr>
              <w:tabs>
                <w:tab w:val="left" w:pos="1080" w:leader="none"/>
              </w:tabs>
              <w:rPr>
                <w:color w:val="000000"/>
                <w:sz w:val="24"/>
                <w:highlight w:val="none"/>
              </w:rPr>
            </w:pPr>
            <w:r>
              <w:rPr>
                <w:rFonts w:hint="eastAsia"/>
                <w:color w:val="000000"/>
                <w:sz w:val="24"/>
                <w:highlight w:val="none"/>
                <w:lang w:val="en-US" w:eastAsia="zh-CN"/>
              </w:rPr>
              <w:t xml:space="preserve">中小企业声明函</w:t>
            </w:r>
            <w:r>
              <w:rPr>
                <w:color w:val="000000"/>
                <w:sz w:val="24"/>
                <w:highlight w:val="none"/>
              </w:rPr>
              <w:t xml:space="preserve">格式见《响应文件格式》</w:t>
            </w:r>
            <w:r/>
          </w:p>
        </w:tc>
      </w:tr>
      <w:tr>
        <w:trPr>
          <w:cantSplit/>
          <w:trHeight w:val="20"/>
        </w:trPr>
        <w:tc>
          <w:tcPr>
            <w:tcW w:w="375" w:type="dxa"/>
            <w:vAlign w:val="center"/>
            <w:textDirection w:val="lrTb"/>
            <w:noWrap w:val="false"/>
          </w:tcPr>
          <w:p>
            <w:pPr>
              <w:jc w:val="center"/>
              <w:tabs>
                <w:tab w:val="left" w:pos="1080" w:leader="none"/>
              </w:tabs>
              <w:rPr>
                <w:color w:val="000000"/>
                <w:sz w:val="24"/>
                <w:highlight w:val="none"/>
              </w:rPr>
            </w:pPr>
            <w:r>
              <w:rPr>
                <w:color w:val="000000"/>
                <w:sz w:val="24"/>
                <w:highlight w:val="none"/>
              </w:rPr>
              <w:t xml:space="preserve">3</w:t>
            </w:r>
            <w:r/>
          </w:p>
        </w:tc>
        <w:tc>
          <w:tcPr>
            <w:tcW w:w="1014" w:type="dxa"/>
            <w:vAlign w:val="center"/>
            <w:textDirection w:val="lrTb"/>
            <w:noWrap w:val="false"/>
          </w:tcPr>
          <w:p>
            <w:pPr>
              <w:tabs>
                <w:tab w:val="left" w:pos="1080" w:leader="none"/>
              </w:tabs>
              <w:rPr>
                <w:color w:val="000000"/>
                <w:sz w:val="24"/>
                <w:highlight w:val="none"/>
              </w:rPr>
            </w:pPr>
            <w:r>
              <w:rPr>
                <w:color w:val="000000"/>
                <w:sz w:val="24"/>
                <w:highlight w:val="none"/>
              </w:rPr>
              <w:t xml:space="preserve">本项目的特定资格要求</w:t>
            </w:r>
            <w:r/>
          </w:p>
        </w:tc>
        <w:tc>
          <w:tcPr>
            <w:tcW w:w="2636" w:type="dxa"/>
            <w:vAlign w:val="center"/>
            <w:textDirection w:val="lrTb"/>
            <w:noWrap w:val="false"/>
          </w:tcPr>
          <w:p>
            <w:pPr>
              <w:tabs>
                <w:tab w:val="left" w:pos="1080" w:leader="none"/>
              </w:tabs>
              <w:rPr>
                <w:color w:val="000000"/>
                <w:sz w:val="24"/>
                <w:highlight w:val="none"/>
              </w:rPr>
            </w:pPr>
            <w:r>
              <w:rPr>
                <w:color w:val="000000"/>
                <w:sz w:val="24"/>
                <w:highlight w:val="none"/>
              </w:rPr>
              <w:t xml:space="preserve">如有，见第一章《采购邀请》</w:t>
            </w:r>
            <w:r/>
          </w:p>
        </w:tc>
        <w:tc>
          <w:tcPr>
            <w:tcW w:w="973" w:type="dxa"/>
            <w:vAlign w:val="center"/>
            <w:textDirection w:val="lrTb"/>
            <w:noWrap w:val="false"/>
          </w:tcPr>
          <w:p>
            <w:pPr>
              <w:tabs>
                <w:tab w:val="left" w:pos="1080" w:leader="none"/>
              </w:tabs>
              <w:rPr>
                <w:color w:val="000000"/>
                <w:sz w:val="24"/>
                <w:highlight w:val="none"/>
              </w:rPr>
            </w:pPr>
            <w:r>
              <w:rPr>
                <w:color w:val="000000"/>
                <w:sz w:val="24"/>
                <w:highlight w:val="none"/>
              </w:rPr>
            </w:r>
            <w:r/>
          </w:p>
        </w:tc>
      </w:tr>
      <w:tr>
        <w:trPr>
          <w:cantSplit/>
          <w:trHeight w:val="20"/>
        </w:trPr>
        <w:tc>
          <w:tcPr>
            <w:tcW w:w="375" w:type="dxa"/>
            <w:vAlign w:val="center"/>
            <w:textDirection w:val="lrTb"/>
            <w:noWrap w:val="false"/>
          </w:tcPr>
          <w:p>
            <w:pPr>
              <w:jc w:val="center"/>
              <w:tabs>
                <w:tab w:val="left" w:pos="1080" w:leader="none"/>
              </w:tabs>
              <w:rPr>
                <w:color w:val="000000"/>
                <w:sz w:val="24"/>
                <w:highlight w:val="none"/>
              </w:rPr>
            </w:pPr>
            <w:r>
              <w:rPr>
                <w:color w:val="000000"/>
                <w:sz w:val="24"/>
                <w:highlight w:val="none"/>
              </w:rPr>
              <w:t xml:space="preserve">3-1</w:t>
            </w:r>
            <w:r/>
          </w:p>
        </w:tc>
        <w:tc>
          <w:tcPr>
            <w:tcW w:w="1014" w:type="dxa"/>
            <w:vAlign w:val="center"/>
            <w:textDirection w:val="lrTb"/>
            <w:noWrap w:val="false"/>
          </w:tcPr>
          <w:p>
            <w:pPr>
              <w:tabs>
                <w:tab w:val="left" w:pos="1080" w:leader="none"/>
              </w:tabs>
              <w:rPr>
                <w:color w:val="000000"/>
                <w:sz w:val="24"/>
                <w:highlight w:val="none"/>
              </w:rPr>
            </w:pPr>
            <w:r>
              <w:rPr>
                <w:color w:val="000000"/>
                <w:sz w:val="24"/>
                <w:highlight w:val="none"/>
              </w:rPr>
              <w:t xml:space="preserve">是否接受联合体响应</w:t>
            </w:r>
            <w:r/>
          </w:p>
        </w:tc>
        <w:tc>
          <w:tcPr>
            <w:tcW w:w="2636" w:type="dxa"/>
            <w:vAlign w:val="center"/>
            <w:textDirection w:val="lrTb"/>
            <w:noWrap w:val="false"/>
          </w:tcPr>
          <w:p>
            <w:pPr>
              <w:tabs>
                <w:tab w:val="left" w:pos="1080" w:leader="none"/>
              </w:tabs>
              <w:rPr>
                <w:color w:val="000000"/>
                <w:sz w:val="24"/>
                <w:highlight w:val="none"/>
              </w:rPr>
            </w:pPr>
            <w:r>
              <w:rPr>
                <w:color w:val="000000"/>
                <w:sz w:val="24"/>
                <w:highlight w:val="none"/>
              </w:rPr>
              <w:t xml:space="preserve">本项目不接受联合体响应，</w:t>
            </w:r>
            <w:r>
              <w:rPr>
                <w:rFonts w:hint="eastAsia"/>
                <w:color w:val="000000"/>
                <w:sz w:val="24"/>
                <w:highlight w:val="none"/>
              </w:rPr>
              <w:t xml:space="preserve">供应商不得为联合体</w:t>
            </w:r>
            <w:r>
              <w:rPr>
                <w:color w:val="000000"/>
                <w:sz w:val="24"/>
                <w:highlight w:val="none"/>
              </w:rPr>
              <w:t xml:space="preserve">。</w:t>
            </w:r>
            <w:r/>
          </w:p>
        </w:tc>
        <w:tc>
          <w:tcPr>
            <w:tcW w:w="973" w:type="dxa"/>
            <w:vAlign w:val="center"/>
            <w:textDirection w:val="lrTb"/>
            <w:noWrap w:val="false"/>
          </w:tcPr>
          <w:p>
            <w:pPr>
              <w:tabs>
                <w:tab w:val="left" w:pos="1080" w:leader="none"/>
              </w:tabs>
              <w:rPr>
                <w:color w:val="000000"/>
                <w:sz w:val="24"/>
                <w:highlight w:val="none"/>
              </w:rPr>
            </w:pPr>
            <w:r>
              <w:rPr>
                <w:color w:val="000000"/>
                <w:sz w:val="24"/>
                <w:highlight w:val="none"/>
              </w:rPr>
            </w:r>
            <w:r/>
          </w:p>
        </w:tc>
      </w:tr>
      <w:tr>
        <w:trPr>
          <w:cantSplit/>
          <w:trHeight w:val="20"/>
        </w:trPr>
        <w:tc>
          <w:tcPr>
            <w:tcW w:w="375" w:type="dxa"/>
            <w:vAlign w:val="center"/>
            <w:textDirection w:val="lrTb"/>
            <w:noWrap w:val="false"/>
          </w:tcPr>
          <w:p>
            <w:pPr>
              <w:jc w:val="center"/>
              <w:tabs>
                <w:tab w:val="left" w:pos="1080" w:leader="none"/>
              </w:tabs>
              <w:rPr>
                <w:color w:val="000000"/>
                <w:sz w:val="24"/>
                <w:highlight w:val="none"/>
              </w:rPr>
            </w:pPr>
            <w:r>
              <w:rPr>
                <w:color w:val="000000"/>
                <w:sz w:val="24"/>
                <w:highlight w:val="none"/>
              </w:rPr>
              <w:t xml:space="preserve">3-2</w:t>
            </w:r>
            <w:r/>
          </w:p>
        </w:tc>
        <w:tc>
          <w:tcPr>
            <w:tcW w:w="1014" w:type="dxa"/>
            <w:vAlign w:val="center"/>
            <w:textDirection w:val="lrTb"/>
            <w:noWrap w:val="false"/>
          </w:tcPr>
          <w:p>
            <w:pPr>
              <w:tabs>
                <w:tab w:val="left" w:pos="1080" w:leader="none"/>
              </w:tabs>
              <w:rPr>
                <w:color w:val="000000"/>
                <w:sz w:val="24"/>
                <w:highlight w:val="none"/>
              </w:rPr>
            </w:pPr>
            <w:r>
              <w:rPr>
                <w:color w:val="000000"/>
                <w:sz w:val="24"/>
                <w:highlight w:val="none"/>
              </w:rPr>
              <w:t xml:space="preserve">其他特定资格要求</w:t>
            </w:r>
            <w:r/>
          </w:p>
        </w:tc>
        <w:tc>
          <w:tcPr>
            <w:tcW w:w="2636" w:type="dxa"/>
            <w:vAlign w:val="center"/>
            <w:textDirection w:val="lrTb"/>
            <w:noWrap w:val="false"/>
          </w:tcPr>
          <w:p>
            <w:pPr>
              <w:tabs>
                <w:tab w:val="left" w:pos="1080" w:leader="none"/>
              </w:tabs>
              <w:rPr>
                <w:color w:val="000000"/>
                <w:sz w:val="24"/>
                <w:highlight w:val="none"/>
              </w:rPr>
            </w:pPr>
            <w:r>
              <w:rPr>
                <w:color w:val="000000"/>
                <w:sz w:val="24"/>
                <w:highlight w:val="none"/>
              </w:rPr>
              <w:t xml:space="preserve">如有，见第一章《采购邀请》</w:t>
            </w:r>
            <w:r/>
          </w:p>
        </w:tc>
        <w:tc>
          <w:tcPr>
            <w:tcW w:w="973" w:type="dxa"/>
            <w:vAlign w:val="center"/>
            <w:textDirection w:val="lrTb"/>
            <w:noWrap w:val="false"/>
          </w:tcPr>
          <w:p>
            <w:pPr>
              <w:tabs>
                <w:tab w:val="left" w:pos="1080" w:leader="none"/>
              </w:tabs>
              <w:rPr>
                <w:color w:val="000000"/>
                <w:sz w:val="24"/>
                <w:highlight w:val="none"/>
              </w:rPr>
            </w:pPr>
            <w:r>
              <w:rPr>
                <w:color w:val="000000"/>
                <w:sz w:val="24"/>
                <w:highlight w:val="none"/>
              </w:rPr>
              <w:t xml:space="preserve">提供证明文件的电子件或电子证照</w:t>
            </w:r>
            <w:r/>
          </w:p>
        </w:tc>
      </w:tr>
    </w:tbl>
    <w:p>
      <w:pPr>
        <w:jc w:val="left"/>
        <w:widowControl/>
        <w:rPr>
          <w:color w:val="000000"/>
          <w:sz w:val="24"/>
          <w:highlight w:val="none"/>
        </w:rPr>
      </w:pPr>
      <w:r>
        <w:rPr>
          <w:color w:val="000000"/>
          <w:sz w:val="24"/>
          <w:highlight w:val="none"/>
        </w:rPr>
        <w:br w:type="page" w:clear="all"/>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《符合性审查要求》见下表：</w:t>
      </w:r>
      <w:r/>
    </w:p>
    <w:tbl>
      <w:tblPr>
        <w:tblStyle w:val="8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1807"/>
        <w:gridCol w:w="6747"/>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响应函、法定代表人资格证明书和政府采购供应商信用承诺书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按磋商文件要求提供响应函、法定代表人资格证明书和政府采购供应商信用承诺书；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未将一个采购包中的内容拆开响应；</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响应报价未超过磋商文件中规定的项目</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采购包预算金额或者项目</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采购包最高限价；</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响应文件未出现可选择性或可调整的报价（磋商文件另有规定的除外）；</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响应文件中承诺的响应有效期满足磋商文件中载明的响应有效期的；</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按照磋商文件要求签署、加盖公章的；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标记为</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实质性格式</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的文件均按磋商文件要求提供；</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响应文件满足磋商文件第五章《采购需求》中条款要求的；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不涉及报价修正，或响应文件报价出现前后不一致时，供应商对修正后的报价予以确认；（如有）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报价合理性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报价合理，或供应商的报价明显低于其他通过符合性审查供应商的报价，有可能影响产品质量或者不能诚信履约的，能够应评标委员会要求在规定时间内证明其报价合理性的；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供应商遵循公平竞争的原则，不存在恶意串通，妨碍其他供应商的竞争行为，不存在损害采购人或者其他供应商的合法权益情形的；</w:t>
            </w:r>
            <w:r/>
          </w:p>
        </w:tc>
      </w:tr>
      <w:tr>
        <w:trPr>
          <w:trHeight w:val="3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不存在《政府采购货物和服务招标响应管理办法》视为供应商串通响应的情形：</w:t>
            </w:r>
            <w:r/>
          </w:p>
          <w:p>
            <w:pPr>
              <w:numPr>
                <w:ilvl w:val="0"/>
                <w:numId w:val="11"/>
              </w:numP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不同供应商的响应文件由同一单位或者个人编制（包含使用同一MAC地址的计算机制作电子响应文件的情形）；</w:t>
            </w:r>
            <w:r/>
          </w:p>
          <w:p>
            <w:pPr>
              <w:numPr>
                <w:ilvl w:val="0"/>
                <w:numId w:val="11"/>
              </w:numP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不同供应商委托同一单位或者个人办理响应事宜（包含使用同一MAC地址的计算机提交或者解密电子响应文件的情形）；</w:t>
            </w:r>
            <w:r/>
          </w:p>
          <w:p>
            <w:pPr>
              <w:numPr>
                <w:ilvl w:val="0"/>
                <w:numId w:val="11"/>
              </w:numP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不同供应商的响应文件载明的项目管理成员或者联系人员为同一人；</w:t>
            </w:r>
            <w:r/>
          </w:p>
          <w:p>
            <w:pPr>
              <w:numPr>
                <w:ilvl w:val="0"/>
                <w:numId w:val="11"/>
              </w:numP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不同供应商的响应文件异常一致或者响应报价呈规律 性差异；</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响应文件未含有采购人不能接受的附加条件的；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8"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供应商、响应文件不存在不符合法律、法规和磋商文件规定的其他无效情形。</w:t>
            </w:r>
            <w:r/>
          </w:p>
        </w:tc>
      </w:tr>
    </w:tbl>
    <w:p>
      <w:pPr>
        <w:pStyle w:val="804"/>
      </w:pPr>
      <w:r/>
      <w:r/>
    </w:p>
    <w:p>
      <w:pPr>
        <w:jc w:val="center"/>
        <w:spacing w:line="360" w:lineRule="auto"/>
        <w:widowControl/>
        <w:rPr>
          <w:b/>
          <w:color w:val="000000"/>
          <w:sz w:val="24"/>
          <w:highlight w:val="none"/>
        </w:rPr>
      </w:pPr>
      <w:r>
        <w:rPr>
          <w:b/>
          <w:color w:val="000000"/>
          <w:sz w:val="24"/>
          <w:highlight w:val="none"/>
        </w:rPr>
        <w:t xml:space="preserve">符合性审查要求</w:t>
      </w:r>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磋商、响应文件有关事项的澄清、说明或者更正和最终报价</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color w:val="000000"/>
          <w:sz w:val="24"/>
          <w:highlight w:val="none"/>
        </w:rPr>
        <w:t xml:space="preserve">“苏采云”政府采购一体化平台</w:t>
      </w:r>
      <w:r>
        <w:rPr>
          <w:rFonts w:hint="eastAsia"/>
          <w:color w:val="000000"/>
          <w:sz w:val="24"/>
          <w:highlight w:val="none"/>
        </w:rPr>
        <w:t xml:space="preserve">系统</w:t>
      </w:r>
      <w:r>
        <w:rPr>
          <w:color w:val="000000"/>
          <w:sz w:val="24"/>
          <w:highlight w:val="none"/>
        </w:rPr>
        <w:t xml:space="preserve">以书面形式同时通知所有参加磋商的供应商。</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p>
    <w:p>
      <w:pPr>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color w:val="000000"/>
          <w:sz w:val="24"/>
          <w:highlight w:val="none"/>
        </w:rPr>
        <w:t xml:space="preserve">“苏采云”政府采购一体化平台</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p>
    <w:p>
      <w:pPr>
        <w:numPr>
          <w:ilvl w:val="1"/>
          <w:numId w:val="10"/>
        </w:numPr>
        <w:ind w:left="1077" w:hanging="720"/>
        <w:spacing w:line="360" w:lineRule="auto"/>
        <w:tabs>
          <w:tab w:val="left" w:pos="1080" w:leader="none"/>
          <w:tab w:val="left" w:pos="1872" w:leader="none"/>
        </w:tabs>
        <w:rPr>
          <w:b/>
          <w:color w:val="000000"/>
          <w:sz w:val="24"/>
          <w:highlight w:val="none"/>
        </w:rPr>
      </w:pPr>
      <w:r>
        <w:rPr>
          <w:rFonts w:ascii="Times New Roman" w:hAnsi="Times New Roman" w:eastAsia="宋体" w:cs="Times New Roman"/>
          <w:b/>
          <w:bCs/>
          <w:color w:val="000000"/>
          <w:sz w:val="24"/>
          <w:highlight w:val="none"/>
        </w:rPr>
        <w:t xml:space="preserve">磋商结束后，磋商小组将要求所有实质性响应的供应商在规定时间内</w:t>
      </w:r>
      <w:r>
        <w:rPr>
          <w:rFonts w:hint="eastAsia" w:ascii="Times New Roman" w:hAnsi="Times New Roman" w:eastAsia="宋体" w:cs="Times New Roman"/>
          <w:b/>
          <w:bCs/>
          <w:color w:val="000000"/>
          <w:sz w:val="24"/>
          <w:highlight w:val="none"/>
        </w:rPr>
        <w:t xml:space="preserve">通过</w:t>
      </w:r>
      <w:r>
        <w:rPr>
          <w:rFonts w:ascii="Times New Roman" w:hAnsi="Times New Roman" w:eastAsia="宋体" w:cs="Times New Roman"/>
          <w:b/>
          <w:bCs/>
          <w:color w:val="000000"/>
          <w:sz w:val="24"/>
          <w:highlight w:val="none"/>
        </w:rPr>
        <w:t xml:space="preserve">“苏采云”政府采购一体化平台</w:t>
      </w:r>
      <w:r>
        <w:rPr>
          <w:rFonts w:hint="eastAsia" w:ascii="Times New Roman" w:hAnsi="Times New Roman" w:eastAsia="宋体" w:cs="Times New Roman"/>
          <w:b/>
          <w:bCs/>
          <w:color w:val="000000"/>
          <w:sz w:val="24"/>
          <w:highlight w:val="none"/>
        </w:rPr>
        <w:t xml:space="preserve">系统</w:t>
      </w:r>
      <w:r>
        <w:rPr>
          <w:rFonts w:ascii="Times New Roman" w:hAnsi="Times New Roman" w:eastAsia="宋体" w:cs="Times New Roman"/>
          <w:b/>
          <w:bCs/>
          <w:color w:val="000000"/>
          <w:sz w:val="24"/>
          <w:highlight w:val="none"/>
        </w:rPr>
        <w:t xml:space="preserve">提交</w:t>
      </w:r>
      <w:r>
        <w:rPr>
          <w:rFonts w:hint="eastAsia"/>
          <w:b/>
          <w:bCs/>
          <w:color w:val="000000"/>
          <w:sz w:val="24"/>
          <w:highlight w:val="none"/>
        </w:rPr>
        <w:t xml:space="preserve">第二轮报价</w:t>
      </w:r>
      <w:r>
        <w:rPr>
          <w:b/>
          <w:bCs/>
          <w:color w:val="000000"/>
          <w:sz w:val="24"/>
          <w:highlight w:val="none"/>
        </w:rPr>
        <w:t xml:space="preserve">，</w:t>
      </w:r>
      <w:r>
        <w:rPr>
          <w:rFonts w:hint="eastAsia"/>
          <w:b/>
          <w:bCs/>
          <w:color w:val="000000"/>
          <w:sz w:val="24"/>
          <w:highlight w:val="none"/>
          <w:lang w:val="en-US" w:eastAsia="en-US"/>
        </w:rPr>
        <w:t xml:space="preserve">第二轮报价</w:t>
      </w:r>
      <w:r>
        <w:rPr>
          <w:rFonts w:hint="eastAsia"/>
          <w:b/>
          <w:bCs/>
          <w:color w:val="000000"/>
          <w:sz w:val="24"/>
          <w:highlight w:val="none"/>
        </w:rPr>
        <w:t xml:space="preserve">不得超过首轮报价，否则作无效报价文件处理</w:t>
      </w:r>
      <w:r>
        <w:rPr>
          <w:rFonts w:hint="eastAsia"/>
          <w:b/>
          <w:bCs/>
          <w:color w:val="000000"/>
          <w:sz w:val="24"/>
          <w:highlight w:val="none"/>
          <w:lang w:eastAsia="zh-CN"/>
        </w:rPr>
        <w:t xml:space="preserve">。</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磋商文件能够详细列明采购标的的技术、服务要求的，磋商结束后，磋商小组应当要求所有实质</w:t>
      </w:r>
      <w:r>
        <w:rPr>
          <w:color w:val="000000"/>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最终报价是供应商响应文件的有效组成部分。</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已提交响应文件的供应商，在提交最终报价之前，可以根据磋商情况退出磋商。</w:t>
      </w:r>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最终报价的算术修正及政策调整</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最终报价须包含竞争性磋商文件全部内容，如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最终报价出现前后不一致的，按照下列规定修正：</w:t>
      </w:r>
      <w:r/>
    </w:p>
    <w:p>
      <w:pPr>
        <w:numPr>
          <w:ilvl w:val="2"/>
          <w:numId w:val="10"/>
        </w:numPr>
        <w:ind w:left="2035"/>
        <w:spacing w:line="360" w:lineRule="auto"/>
        <w:tabs>
          <w:tab w:val="left" w:pos="1080" w:leader="none"/>
          <w:tab w:val="left" w:pos="1589" w:leader="none"/>
          <w:tab w:val="left" w:pos="2035" w:leader="none"/>
          <w:tab w:val="left" w:pos="2114" w:leader="none"/>
        </w:tabs>
        <w:rPr>
          <w:color w:val="000000"/>
          <w:sz w:val="24"/>
          <w:highlight w:val="none"/>
        </w:rPr>
      </w:pPr>
      <w:r>
        <w:rPr>
          <w:color w:val="000000"/>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□有，具体规定为：___________</w:t>
      </w:r>
      <w:r/>
    </w:p>
    <w:p>
      <w:pPr>
        <w:ind w:left="2035"/>
        <w:spacing w:line="360" w:lineRule="auto"/>
        <w:tabs>
          <w:tab w:val="left" w:pos="1080" w:leader="none"/>
          <w:tab w:val="left" w:pos="1589" w:leader="none"/>
          <w:tab w:val="left" w:pos="2035" w:leader="none"/>
          <w:tab w:val="left" w:pos="2114" w:leader="none"/>
        </w:tabs>
        <w:rPr>
          <w:color w:val="000000"/>
          <w:sz w:val="24"/>
          <w:highlight w:val="none"/>
        </w:rPr>
      </w:pPr>
      <w:r>
        <w:rPr>
          <w:rFonts w:ascii="Wingdings 2" w:hAnsi="Wingdings 2" w:eastAsia="Wingdings 2" w:cs="Wingdings 2"/>
          <w:color w:val="000000"/>
          <w:sz w:val="24"/>
          <w:highlight w:val="none"/>
        </w:rPr>
        <w:t xml:space="preserve">R</w:t>
      </w:r>
      <w:r>
        <w:rPr>
          <w:color w:val="000000"/>
          <w:sz w:val="24"/>
          <w:highlight w:val="none"/>
        </w:rPr>
        <w:t xml:space="preserve">无，按下述3.2.2-3.2.5项规定修正。</w:t>
      </w:r>
      <w:r/>
    </w:p>
    <w:p>
      <w:pPr>
        <w:numPr>
          <w:ilvl w:val="2"/>
          <w:numId w:val="10"/>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p>
    <w:p>
      <w:pPr>
        <w:numPr>
          <w:ilvl w:val="2"/>
          <w:numId w:val="10"/>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单价金额小数点或者百分比有明显错位的，以最终报价一览表的总价为准，并修改单价；</w:t>
      </w:r>
      <w:r/>
    </w:p>
    <w:p>
      <w:pPr>
        <w:numPr>
          <w:ilvl w:val="2"/>
          <w:numId w:val="10"/>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p>
    <w:p>
      <w:pPr>
        <w:numPr>
          <w:ilvl w:val="2"/>
          <w:numId w:val="10"/>
        </w:numPr>
        <w:ind w:left="2035"/>
        <w:spacing w:line="360" w:lineRule="auto"/>
        <w:tabs>
          <w:tab w:val="left" w:pos="1080" w:leader="none"/>
          <w:tab w:val="left" w:pos="1589"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落实政府采购政策的价格调整：只有符合第二章《供应商须知》4.2条规定情形的，可以享受中小企业扶持政策，用扣除后的价格参加评审；否则，评审时价格不予扣除。</w:t>
      </w:r>
      <w:r>
        <w:rPr>
          <w:rFonts w:hint="eastAsia"/>
          <w:b/>
          <w:bCs/>
          <w:color w:val="000000"/>
          <w:sz w:val="24"/>
          <w:highlight w:val="none"/>
        </w:rPr>
        <w:t xml:space="preserve">如是专门面向中小企业采购的项目，不再执行价格评审优惠的扶持政策，评标时价格不予扣除</w:t>
      </w:r>
      <w:r>
        <w:rPr>
          <w:color w:val="000000"/>
          <w:sz w:val="24"/>
          <w:highlight w:val="none"/>
        </w:rPr>
        <w:t xml:space="preserve">。</w:t>
      </w:r>
      <w:r/>
    </w:p>
    <w:p>
      <w:pPr>
        <w:numPr>
          <w:ilvl w:val="2"/>
          <w:numId w:val="10"/>
        </w:numPr>
        <w:spacing w:line="360" w:lineRule="auto"/>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rPr>
        <w:t xml:space="preserve">20</w:t>
      </w:r>
      <w:r>
        <w:rPr>
          <w:color w:val="000000"/>
          <w:sz w:val="24"/>
          <w:highlight w:val="none"/>
        </w:rPr>
        <w:t xml:space="preserve">%的扣除，用扣除后的价格参加评审。</w:t>
      </w:r>
      <w:r/>
    </w:p>
    <w:p>
      <w:pPr>
        <w:numPr>
          <w:ilvl w:val="2"/>
          <w:numId w:val="10"/>
        </w:numPr>
        <w:spacing w:line="360" w:lineRule="auto"/>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rPr>
        <w:t xml:space="preserve">3</w:t>
      </w:r>
      <w:r>
        <w:rPr>
          <w:color w:val="000000"/>
          <w:sz w:val="24"/>
          <w:highlight w:val="none"/>
        </w:rPr>
        <w:t xml:space="preserve">%的扣除，用扣除后的价格参加评审。</w:t>
      </w:r>
      <w:r/>
    </w:p>
    <w:p>
      <w:pPr>
        <w:numPr>
          <w:ilvl w:val="2"/>
          <w:numId w:val="10"/>
        </w:numPr>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p>
    <w:p>
      <w:pPr>
        <w:numPr>
          <w:ilvl w:val="2"/>
          <w:numId w:val="10"/>
        </w:numPr>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p>
    <w:p>
      <w:pPr>
        <w:numPr>
          <w:ilvl w:val="2"/>
          <w:numId w:val="10"/>
        </w:numPr>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中小企业参加政府采购活动，应当按照竞争性磋商文件给定的格式出具《中小企业声明函》，否则不得享受相关中小企业扶持政策。</w:t>
      </w:r>
      <w:r/>
    </w:p>
    <w:p>
      <w:pPr>
        <w:numPr>
          <w:ilvl w:val="2"/>
          <w:numId w:val="10"/>
        </w:numPr>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0"/>
        </w:numPr>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残疾人福利性单位按竞争性磋商文件要求提供了《残疾人福利性单位声明函》（见附件）的，视同小微企业。</w:t>
      </w:r>
      <w:r/>
    </w:p>
    <w:p>
      <w:pPr>
        <w:numPr>
          <w:ilvl w:val="2"/>
          <w:numId w:val="10"/>
        </w:numPr>
        <w:ind w:left="2035"/>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若供应商同时属于小型或微型企业、监狱企业、残疾人福利性单位中的两种及以上，将不重复享受小微企业价格扣减的优惠政策。</w:t>
      </w:r>
      <w:r/>
    </w:p>
    <w:p>
      <w:pPr>
        <w:numPr>
          <w:ilvl w:val="2"/>
          <w:numId w:val="10"/>
        </w:numPr>
        <w:ind w:left="2035"/>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其他为落实政府采购政策实施的优先采购：______。</w:t>
      </w:r>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磋商环节及提交最终报价后如出现以下情况的，供应商的</w:t>
      </w:r>
      <w:r>
        <w:rPr>
          <w:b/>
          <w:color w:val="000000"/>
          <w:sz w:val="24"/>
          <w:highlight w:val="none"/>
        </w:rPr>
        <w:t xml:space="preserve">响应文件无效</w:t>
      </w:r>
      <w:r>
        <w:rPr>
          <w:color w:val="000000"/>
          <w:sz w:val="24"/>
          <w:highlight w:val="none"/>
        </w:rPr>
        <w:t xml:space="preserve">：</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供应商对实质性变动不予确认的；</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不满足磋商文件条款或磋商文件技术指标超出磋商文件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未按照磋商小组规定的时间、逾期提交最终报价的；</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如供应商的最终报价超过竞争性磋商文件中规定的项目/采购包预算金额或者项目/采购包最高限价的；</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响应文件中出现可选择性或可调整的报价的（竞争性磋商文件另有规定的除外）；</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最终报价出现前后不一致，供应商对修正后的报价不予确认的；</w:t>
      </w:r>
      <w:r/>
    </w:p>
    <w:p>
      <w:pPr>
        <w:numPr>
          <w:ilvl w:val="1"/>
          <w:numId w:val="10"/>
        </w:numPr>
        <w:ind w:left="1077" w:hanging="720"/>
        <w:spacing w:line="360" w:lineRule="auto"/>
        <w:tabs>
          <w:tab w:val="left" w:pos="1080" w:leader="none"/>
        </w:tabs>
        <w:rPr>
          <w:color w:val="000000"/>
          <w:sz w:val="24"/>
          <w:highlight w:val="none"/>
        </w:rPr>
      </w:pPr>
      <w:r>
        <w:rPr>
          <w:color w:val="000000"/>
          <w:sz w:val="24"/>
          <w:highlight w:val="none"/>
        </w:rPr>
        <w:t xml:space="preserve">其他：______。</w:t>
      </w:r>
      <w:bookmarkEnd w:id="621"/>
      <w:r/>
      <w:bookmarkEnd w:id="622"/>
      <w:r/>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评审方法和评审标准</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竞争性磋商文件中没有规定的评审标准不得作为评审依据。</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非政府强制采购的节能产品或环境标志产品，依据品目清单和认证证书实施政府优先采购。优先采购的具体规定（如涉及）______。</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关于无线局域网认证产品政府采购清单中的产品，优先采购的具体规定（如涉及）______。</w:t>
      </w:r>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确定</w:t>
      </w:r>
      <w:bookmarkStart w:id="638" w:name="_Toc150774646"/>
      <w:r/>
      <w:bookmarkStart w:id="639" w:name="_Toc164351640"/>
      <w:r/>
      <w:bookmarkStart w:id="640" w:name="_Toc226965736"/>
      <w:r/>
      <w:bookmarkStart w:id="641" w:name="_Toc151193788"/>
      <w:r/>
      <w:bookmarkStart w:id="642" w:name="_Toc142311048"/>
      <w:r/>
      <w:bookmarkStart w:id="643" w:name="_Toc151190173"/>
      <w:r/>
      <w:bookmarkStart w:id="644" w:name="_Toc127161460"/>
      <w:r/>
      <w:bookmarkStart w:id="645" w:name="_Toc150774751"/>
      <w:r/>
      <w:bookmarkStart w:id="646" w:name="_Toc520356170"/>
      <w:r/>
      <w:bookmarkStart w:id="647" w:name="_Toc127151546"/>
      <w:r/>
      <w:bookmarkStart w:id="648" w:name="_Toc226337242"/>
      <w:r/>
      <w:bookmarkStart w:id="649" w:name="_Toc164229387"/>
      <w:r/>
      <w:bookmarkStart w:id="650" w:name="_Toc150509297"/>
      <w:r/>
      <w:bookmarkStart w:id="651" w:name="_Toc264969236"/>
      <w:r/>
      <w:bookmarkStart w:id="652" w:name="_Toc164608815"/>
      <w:r/>
      <w:bookmarkStart w:id="653" w:name="_Toc305158888"/>
      <w:r/>
      <w:bookmarkStart w:id="654" w:name="_Toc151193860"/>
      <w:r/>
      <w:bookmarkStart w:id="655" w:name="_Toc226965819"/>
      <w:r/>
      <w:bookmarkStart w:id="656" w:name="_Toc151193716"/>
      <w:r/>
      <w:bookmarkStart w:id="657" w:name="_Toc265228384"/>
      <w:r/>
      <w:bookmarkStart w:id="658" w:name="_Toc164229241"/>
      <w:r/>
      <w:bookmarkStart w:id="659" w:name="_Toc164608660"/>
      <w:r/>
      <w:bookmarkStart w:id="660" w:name="_Toc195842911"/>
      <w:r/>
      <w:bookmarkStart w:id="661" w:name="_Toc151193644"/>
      <w:r/>
      <w:bookmarkStart w:id="662" w:name="_Toc127151747"/>
      <w:r/>
      <w:bookmarkStart w:id="663" w:name="_Ref467307010"/>
      <w:r/>
      <w:bookmarkStart w:id="664" w:name="_Toc150480784"/>
      <w:r/>
      <w:bookmarkStart w:id="665" w:name="_Toc151193934"/>
      <w:r/>
      <w:bookmarkStart w:id="666" w:name="_Toc149720839"/>
      <w:r/>
      <w:bookmarkStart w:id="667" w:name="_Toc226309790"/>
      <w:r/>
      <w:bookmarkStart w:id="668" w:name="_Toc305158814"/>
      <w:r>
        <w:rPr>
          <w:color w:val="000000"/>
          <w:sz w:val="24"/>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szCs w:val="20"/>
          <w:highlight w:val="none"/>
        </w:rPr>
        <w:t xml:space="preserve">磋商小组根据上述供应商排序，依次推荐排序前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（若在磋商文件允许的情形下提交最终报价的供应商为二家，则依次推荐二名供应商为成交候选供应商），并编写评审报告。</w:t>
      </w:r>
      <w:r/>
    </w:p>
    <w:p>
      <w:pPr>
        <w:numPr>
          <w:ilvl w:val="1"/>
          <w:numId w:val="10"/>
        </w:numPr>
        <w:ind w:left="1077" w:hanging="720"/>
        <w:spacing w:line="360" w:lineRule="auto"/>
        <w:tabs>
          <w:tab w:val="left" w:pos="1080" w:leader="none"/>
          <w:tab w:val="left" w:pos="1872" w:leader="none"/>
        </w:tabs>
        <w:rPr>
          <w:color w:val="000000"/>
          <w:sz w:val="24"/>
          <w:highlight w:val="none"/>
        </w:rPr>
      </w:pPr>
      <w:r>
        <w:rPr>
          <w:color w:val="000000"/>
          <w:sz w:val="24"/>
          <w:highlight w:val="none"/>
        </w:rPr>
        <w:t xml:space="preserve">磋商小组要对评分汇总情况进行复核，特别是对排名第一的、报价最低的、响应文件被认定为无效的情形进行重点复核。</w:t>
      </w:r>
      <w:r/>
    </w:p>
    <w:p>
      <w:pPr>
        <w:numPr>
          <w:ilvl w:val="0"/>
          <w:numId w:val="10"/>
        </w:numPr>
        <w:spacing w:line="360" w:lineRule="auto"/>
        <w:tabs>
          <w:tab w:val="left" w:pos="360" w:leader="none"/>
        </w:tabs>
        <w:rPr>
          <w:color w:val="000000"/>
          <w:sz w:val="24"/>
          <w:highlight w:val="none"/>
        </w:rPr>
        <w:outlineLvl w:val="1"/>
      </w:pPr>
      <w:r>
        <w:rPr>
          <w:color w:val="000000"/>
          <w:sz w:val="24"/>
          <w:highlight w:val="none"/>
        </w:rPr>
        <w:t xml:space="preserve">报告违法行为</w:t>
      </w:r>
      <w:r/>
    </w:p>
    <w:p>
      <w:pPr>
        <w:numPr>
          <w:ilvl w:val="1"/>
          <w:numId w:val="10"/>
        </w:numPr>
        <w:ind w:left="1077" w:hanging="720"/>
        <w:jc w:val="center"/>
        <w:spacing w:line="360" w:lineRule="auto"/>
        <w:widowControl/>
        <w:tabs>
          <w:tab w:val="left" w:pos="1080" w:leader="none"/>
          <w:tab w:val="left" w:pos="1872" w:leader="none"/>
        </w:tabs>
        <w:rPr>
          <w:rFonts w:ascii="Times New Roman" w:hAnsi="Times New Roman" w:eastAsia="宋体"/>
          <w:b w:val="0"/>
          <w:bCs/>
          <w:color w:val="000000"/>
          <w:sz w:val="24"/>
          <w:szCs w:val="24"/>
          <w:highlight w:val="none"/>
        </w:rPr>
      </w:pPr>
      <w:r>
        <w:rPr>
          <w:color w:val="000000"/>
          <w:sz w:val="24"/>
          <w:highlight w:val="none"/>
        </w:rPr>
        <w:t xml:space="preserve">磋商小组在评审过程中发现供应商有行贿、提供虚假材料或者串通等违法行为时，有向采购人、采购代理机构或者有关部门报告的职责。</w:t>
      </w:r>
      <w:r>
        <w:rPr>
          <w:b/>
          <w:color w:val="000000"/>
          <w:sz w:val="24"/>
          <w:highlight w:val="none"/>
        </w:rPr>
        <w:br w:type="page" w:clear="all"/>
      </w:r>
      <w:bookmarkStart w:id="669" w:name="_Toc104818928"/>
      <w:r>
        <w:rPr>
          <w:rFonts w:hint="eastAsia" w:ascii="Times New Roman" w:hAnsi="Times New Roman" w:eastAsia="宋体"/>
          <w:b w:val="0"/>
          <w:bCs/>
          <w:color w:val="000000"/>
          <w:sz w:val="24"/>
          <w:szCs w:val="24"/>
          <w:highlight w:val="none"/>
          <w:lang w:val="en-US" w:eastAsia="zh-CN" w:bidi="ar-SA"/>
        </w:rPr>
        <w:t xml:space="preserve">二、</w:t>
      </w:r>
      <w:r>
        <w:rPr>
          <w:rFonts w:ascii="Times New Roman" w:hAnsi="Times New Roman" w:eastAsia="宋体"/>
          <w:b w:val="0"/>
          <w:bCs/>
          <w:color w:val="000000"/>
          <w:sz w:val="24"/>
          <w:szCs w:val="24"/>
          <w:highlight w:val="none"/>
        </w:rPr>
        <w:t xml:space="preserve">评</w:t>
      </w:r>
      <w:r>
        <w:rPr>
          <w:rFonts w:hint="eastAsia" w:ascii="Times New Roman" w:hAnsi="Times New Roman" w:eastAsia="宋体"/>
          <w:b w:val="0"/>
          <w:bCs/>
          <w:color w:val="000000"/>
          <w:sz w:val="24"/>
          <w:szCs w:val="24"/>
          <w:highlight w:val="none"/>
        </w:rPr>
        <w:t xml:space="preserve">审</w:t>
      </w:r>
      <w:r>
        <w:rPr>
          <w:rFonts w:ascii="Times New Roman" w:hAnsi="Times New Roman" w:eastAsia="宋体"/>
          <w:b w:val="0"/>
          <w:bCs/>
          <w:color w:val="000000"/>
          <w:sz w:val="24"/>
          <w:szCs w:val="24"/>
          <w:highlight w:val="none"/>
        </w:rPr>
        <w:t xml:space="preserve">标准</w:t>
      </w:r>
      <w:r/>
    </w:p>
    <w:tbl>
      <w:tblPr>
        <w:tblStyle w:val="781"/>
        <w:tblW w:w="93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304"/>
        <w:gridCol w:w="680"/>
        <w:gridCol w:w="4592"/>
        <w:gridCol w:w="2153"/>
      </w:tblGrid>
      <w:tr>
        <w:trPr>
          <w:trHeight w:val="90"/>
        </w:trPr>
        <w:tc>
          <w:tcPr>
            <w:tcW w:w="624" w:type="dxa"/>
            <w:vAlign w:val="center"/>
            <w:textDirection w:val="lrTb"/>
            <w:noWrap w:val="false"/>
          </w:tcPr>
          <w:p>
            <w:pPr>
              <w:ind w:firstLine="28"/>
              <w:jc w:val="center"/>
              <w:spacing w:line="240" w:lineRule="auto"/>
              <w:rPr>
                <w:b/>
                <w:color w:val="000000"/>
                <w:sz w:val="21"/>
                <w:szCs w:val="21"/>
                <w:highlight w:val="none"/>
              </w:rPr>
            </w:pPr>
            <w:r>
              <w:rPr>
                <w:b/>
                <w:color w:val="000000"/>
                <w:sz w:val="21"/>
                <w:szCs w:val="21"/>
                <w:highlight w:val="none"/>
              </w:rPr>
              <w:t xml:space="preserve">序号</w:t>
            </w:r>
            <w:r/>
          </w:p>
        </w:tc>
        <w:tc>
          <w:tcPr>
            <w:tcW w:w="1304" w:type="dxa"/>
            <w:vAlign w:val="center"/>
            <w:textDirection w:val="lrTb"/>
            <w:noWrap w:val="false"/>
          </w:tcPr>
          <w:p>
            <w:pPr>
              <w:ind w:firstLine="28"/>
              <w:jc w:val="center"/>
              <w:spacing w:line="240" w:lineRule="auto"/>
              <w:rPr>
                <w:b/>
                <w:color w:val="000000"/>
                <w:sz w:val="21"/>
                <w:szCs w:val="21"/>
                <w:highlight w:val="none"/>
              </w:rPr>
            </w:pPr>
            <w:r>
              <w:rPr>
                <w:b/>
                <w:color w:val="000000"/>
                <w:sz w:val="21"/>
                <w:szCs w:val="21"/>
                <w:highlight w:val="none"/>
              </w:rPr>
              <w:t xml:space="preserve">评分因素</w:t>
            </w:r>
            <w:r/>
          </w:p>
        </w:tc>
        <w:tc>
          <w:tcPr>
            <w:tcW w:w="680" w:type="dxa"/>
            <w:vAlign w:val="center"/>
            <w:textDirection w:val="lrTb"/>
            <w:noWrap w:val="false"/>
          </w:tcPr>
          <w:p>
            <w:pPr>
              <w:ind w:firstLine="28"/>
              <w:jc w:val="center"/>
              <w:spacing w:line="240" w:lineRule="auto"/>
              <w:rPr>
                <w:b/>
                <w:color w:val="000000"/>
                <w:sz w:val="21"/>
                <w:szCs w:val="21"/>
                <w:highlight w:val="none"/>
              </w:rPr>
            </w:pPr>
            <w:r>
              <w:rPr>
                <w:b/>
                <w:color w:val="000000"/>
                <w:sz w:val="21"/>
                <w:szCs w:val="21"/>
                <w:highlight w:val="none"/>
              </w:rPr>
              <w:t xml:space="preserve">分值</w:t>
            </w:r>
            <w:r/>
          </w:p>
        </w:tc>
        <w:tc>
          <w:tcPr>
            <w:tcW w:w="4592" w:type="dxa"/>
            <w:vAlign w:val="center"/>
            <w:textDirection w:val="lrTb"/>
            <w:noWrap w:val="false"/>
          </w:tcPr>
          <w:p>
            <w:pPr>
              <w:ind w:firstLine="28"/>
              <w:jc w:val="center"/>
              <w:spacing w:line="240" w:lineRule="auto"/>
              <w:rPr>
                <w:b/>
                <w:color w:val="000000"/>
                <w:sz w:val="21"/>
                <w:szCs w:val="21"/>
                <w:highlight w:val="none"/>
              </w:rPr>
            </w:pPr>
            <w:r>
              <w:rPr>
                <w:b/>
                <w:color w:val="000000"/>
                <w:sz w:val="21"/>
                <w:szCs w:val="21"/>
                <w:highlight w:val="none"/>
              </w:rPr>
              <w:t xml:space="preserve">评分标准</w:t>
            </w:r>
            <w:r/>
          </w:p>
        </w:tc>
        <w:tc>
          <w:tcPr>
            <w:tcW w:w="2153" w:type="dxa"/>
            <w:vAlign w:val="center"/>
            <w:textDirection w:val="lrTb"/>
            <w:noWrap w:val="false"/>
          </w:tcPr>
          <w:p>
            <w:pPr>
              <w:pStyle w:val="1196"/>
              <w:spacing w:before="0" w:after="0" w:line="240" w:lineRule="auto"/>
              <w:rPr>
                <w:rFonts w:eastAsia="宋体"/>
                <w:color w:val="000000"/>
                <w:sz w:val="21"/>
                <w:szCs w:val="21"/>
                <w:highlight w:val="none"/>
              </w:rPr>
            </w:pPr>
            <w:r>
              <w:rPr>
                <w:rFonts w:eastAsia="宋体"/>
                <w:color w:val="000000"/>
                <w:sz w:val="21"/>
                <w:szCs w:val="21"/>
                <w:highlight w:val="none"/>
              </w:rPr>
              <w:t xml:space="preserve">说明</w:t>
            </w:r>
            <w:r/>
          </w:p>
        </w:tc>
      </w:tr>
      <w:tr>
        <w:trPr>
          <w:trHeight w:val="90"/>
        </w:trPr>
        <w:tc>
          <w:tcPr>
            <w:tcW w:w="624" w:type="dxa"/>
            <w:vAlign w:val="center"/>
            <w:textDirection w:val="lrTb"/>
            <w:noWrap w:val="false"/>
          </w:tcPr>
          <w:p>
            <w:pPr>
              <w:ind w:firstLine="28"/>
              <w:jc w:val="center"/>
              <w:spacing w:line="240" w:lineRule="auto"/>
              <w:rPr>
                <w:b/>
                <w:color w:val="000000"/>
                <w:sz w:val="21"/>
                <w:szCs w:val="21"/>
                <w:highlight w:val="none"/>
              </w:rPr>
            </w:pPr>
            <w:r>
              <w:rPr>
                <w:rFonts w:hint="eastAsia"/>
                <w:b/>
                <w:color w:val="000000"/>
                <w:sz w:val="21"/>
                <w:szCs w:val="21"/>
                <w:highlight w:val="none"/>
              </w:rPr>
              <w:t xml:space="preserve">1</w:t>
            </w:r>
            <w:r/>
          </w:p>
        </w:tc>
        <w:tc>
          <w:tcPr>
            <w:tcW w:w="1304" w:type="dxa"/>
            <w:vAlign w:val="center"/>
            <w:textDirection w:val="lrTb"/>
            <w:noWrap w:val="false"/>
          </w:tcPr>
          <w:p>
            <w:pPr>
              <w:ind w:firstLine="28"/>
              <w:jc w:val="center"/>
              <w:spacing w:line="240" w:lineRule="auto"/>
              <w:rPr>
                <w:rFonts w:hint="eastAsia" w:eastAsia="宋体"/>
                <w:color w:val="000000"/>
                <w:sz w:val="21"/>
                <w:szCs w:val="21"/>
                <w:highlight w:val="none"/>
                <w:lang w:eastAsia="zh-CN"/>
              </w:rPr>
            </w:pPr>
            <w:r>
              <w:rPr>
                <w:rFonts w:hint="eastAsia"/>
                <w:b/>
                <w:bCs/>
                <w:color w:val="000000"/>
                <w:sz w:val="21"/>
                <w:szCs w:val="21"/>
                <w:highlight w:val="none"/>
              </w:rPr>
              <w:t xml:space="preserve">价格</w:t>
            </w:r>
            <w:r>
              <w:rPr>
                <w:rFonts w:hint="eastAsia"/>
                <w:b/>
                <w:bCs/>
                <w:color w:val="000000"/>
                <w:sz w:val="21"/>
                <w:szCs w:val="21"/>
                <w:highlight w:val="none"/>
                <w:lang w:val="en-US" w:eastAsia="zh-CN"/>
              </w:rPr>
              <w:t xml:space="preserve">部分</w:t>
            </w:r>
            <w:r/>
          </w:p>
        </w:tc>
        <w:tc>
          <w:tcPr>
            <w:tcW w:w="680" w:type="dxa"/>
            <w:vAlign w:val="center"/>
            <w:textDirection w:val="lrTb"/>
            <w:noWrap w:val="false"/>
          </w:tcPr>
          <w:p>
            <w:pPr>
              <w:ind w:firstLine="28"/>
              <w:jc w:val="center"/>
              <w:spacing w:line="240" w:lineRule="auto"/>
              <w:rPr>
                <w:rFonts w:hint="default" w:eastAsia="宋体"/>
                <w:color w:val="000000"/>
                <w:sz w:val="21"/>
                <w:szCs w:val="21"/>
                <w:highlight w:val="none"/>
                <w:lang w:val="en-US" w:eastAsia="zh-CN"/>
              </w:rPr>
            </w:pPr>
            <w:r>
              <w:rPr>
                <w:rFonts w:hint="eastAsia"/>
                <w:color w:val="000000"/>
                <w:sz w:val="21"/>
                <w:szCs w:val="21"/>
                <w:highlight w:val="none"/>
                <w:lang w:val="en-US" w:eastAsia="zh-CN"/>
              </w:rPr>
              <w:t xml:space="preserve">10</w:t>
            </w:r>
            <w:r/>
          </w:p>
        </w:tc>
        <w:tc>
          <w:tcPr>
            <w:tcW w:w="4592" w:type="dxa"/>
            <w:vAlign w:val="center"/>
            <w:textDirection w:val="lrTb"/>
            <w:noWrap w:val="false"/>
          </w:tcPr>
          <w:p>
            <w:pPr>
              <w:spacing w:line="240" w:lineRule="auto"/>
              <w:rPr>
                <w:color w:val="000000"/>
                <w:sz w:val="21"/>
                <w:szCs w:val="21"/>
                <w:highlight w:val="none"/>
              </w:rPr>
            </w:pPr>
            <w:r>
              <w:rPr>
                <w:color w:val="000000"/>
                <w:sz w:val="21"/>
                <w:szCs w:val="21"/>
                <w:highlight w:val="none"/>
              </w:rPr>
              <w:t xml:space="preserve">满足磋商文件要求且</w:t>
            </w:r>
            <w:r>
              <w:rPr>
                <w:rFonts w:hint="eastAsia"/>
                <w:color w:val="000000"/>
                <w:sz w:val="21"/>
                <w:szCs w:val="21"/>
                <w:highlight w:val="none"/>
              </w:rPr>
              <w:t xml:space="preserve">最终报价</w:t>
            </w:r>
            <w:r>
              <w:rPr>
                <w:color w:val="000000"/>
                <w:sz w:val="21"/>
                <w:szCs w:val="21"/>
                <w:highlight w:val="none"/>
              </w:rPr>
              <w:t xml:space="preserve">最低的报价为评标基准价，其价格分为满分。其他供应商的价格分统一按照下列公式计算：</w:t>
            </w:r>
            <w:r/>
          </w:p>
          <w:p>
            <w:pPr>
              <w:spacing w:line="240" w:lineRule="auto"/>
              <w:rPr>
                <w:color w:val="000000"/>
                <w:sz w:val="21"/>
                <w:szCs w:val="21"/>
                <w:highlight w:val="none"/>
              </w:rPr>
            </w:pPr>
            <w:r>
              <w:rPr>
                <w:rFonts w:hint="eastAsia"/>
                <w:color w:val="000000"/>
                <w:sz w:val="21"/>
                <w:szCs w:val="21"/>
                <w:highlight w:val="none"/>
              </w:rPr>
              <w:t xml:space="preserve">价格分</w:t>
            </w:r>
            <w:r>
              <w:rPr>
                <w:color w:val="000000"/>
                <w:sz w:val="21"/>
                <w:szCs w:val="21"/>
                <w:highlight w:val="none"/>
              </w:rPr>
              <w:t xml:space="preserve">得分＝（评标基准价/</w:t>
            </w:r>
            <w:r>
              <w:rPr>
                <w:rFonts w:hint="eastAsia"/>
                <w:color w:val="000000"/>
                <w:sz w:val="21"/>
                <w:szCs w:val="21"/>
                <w:highlight w:val="none"/>
              </w:rPr>
              <w:t xml:space="preserve">最终报价</w:t>
            </w:r>
            <w:r>
              <w:rPr>
                <w:color w:val="000000"/>
                <w:sz w:val="21"/>
                <w:szCs w:val="21"/>
                <w:highlight w:val="none"/>
              </w:rPr>
              <w:t xml:space="preserve">）×</w:t>
            </w:r>
            <w:r>
              <w:rPr>
                <w:rFonts w:hint="eastAsia"/>
                <w:color w:val="000000"/>
                <w:sz w:val="21"/>
                <w:szCs w:val="21"/>
                <w:highlight w:val="none"/>
                <w:lang w:val="en-US" w:eastAsia="zh-CN"/>
              </w:rPr>
              <w:t xml:space="preserve">10</w:t>
            </w:r>
            <w:r>
              <w:rPr>
                <w:color w:val="000000"/>
                <w:sz w:val="21"/>
                <w:szCs w:val="21"/>
                <w:highlight w:val="none"/>
              </w:rPr>
              <w:t xml:space="preserve">。</w:t>
            </w:r>
            <w:r/>
          </w:p>
        </w:tc>
        <w:tc>
          <w:tcPr>
            <w:tcW w:w="2153" w:type="dxa"/>
            <w:vAlign w:val="center"/>
            <w:textDirection w:val="lrTb"/>
            <w:noWrap w:val="false"/>
          </w:tcPr>
          <w:p>
            <w:pPr>
              <w:ind w:left="-38"/>
              <w:spacing w:line="240" w:lineRule="auto"/>
              <w:rPr>
                <w:color w:val="000000"/>
                <w:sz w:val="21"/>
                <w:szCs w:val="21"/>
                <w:highlight w:val="none"/>
              </w:rPr>
            </w:pPr>
            <w:r>
              <w:rPr>
                <w:rFonts w:hint="eastAsia"/>
                <w:color w:val="000000"/>
                <w:sz w:val="21"/>
                <w:szCs w:val="21"/>
                <w:highlight w:val="none"/>
              </w:rPr>
              <w:t xml:space="preserve">此处最终报价指经过报价修正，及</w:t>
            </w:r>
            <w:r>
              <w:rPr>
                <w:color w:val="000000"/>
                <w:sz w:val="21"/>
                <w:szCs w:val="21"/>
                <w:highlight w:val="none"/>
              </w:rPr>
              <w:t xml:space="preserve">因落实政府采购政策进行价格调整</w:t>
            </w:r>
            <w:r>
              <w:rPr>
                <w:rFonts w:hint="eastAsia"/>
                <w:color w:val="000000"/>
                <w:sz w:val="21"/>
                <w:szCs w:val="21"/>
                <w:highlight w:val="none"/>
              </w:rPr>
              <w:t xml:space="preserve">后</w:t>
            </w:r>
            <w:r>
              <w:rPr>
                <w:color w:val="000000"/>
                <w:sz w:val="21"/>
                <w:szCs w:val="21"/>
                <w:highlight w:val="none"/>
              </w:rPr>
              <w:t xml:space="preserve">的</w:t>
            </w:r>
            <w:r>
              <w:rPr>
                <w:rFonts w:hint="eastAsia"/>
                <w:color w:val="000000"/>
                <w:sz w:val="21"/>
                <w:szCs w:val="21"/>
                <w:highlight w:val="none"/>
              </w:rPr>
              <w:t xml:space="preserve">最终报价</w:t>
            </w:r>
            <w:r>
              <w:rPr>
                <w:color w:val="000000"/>
                <w:sz w:val="21"/>
                <w:szCs w:val="21"/>
                <w:highlight w:val="none"/>
              </w:rPr>
              <w:t xml:space="preserve">，详见第四章《评标方法和评标标准》</w:t>
            </w:r>
            <w:r>
              <w:rPr>
                <w:rFonts w:hint="eastAsia"/>
                <w:color w:val="000000"/>
                <w:sz w:val="21"/>
                <w:szCs w:val="21"/>
                <w:highlight w:val="none"/>
              </w:rPr>
              <w:t xml:space="preserve">3</w:t>
            </w:r>
            <w:r>
              <w:rPr>
                <w:color w:val="000000"/>
                <w:sz w:val="21"/>
                <w:szCs w:val="21"/>
                <w:highlight w:val="none"/>
              </w:rPr>
              <w:t xml:space="preserve">。</w:t>
            </w:r>
            <w:r/>
          </w:p>
        </w:tc>
      </w:tr>
      <w:tr>
        <w:trPr>
          <w:trHeight w:val="90"/>
        </w:trPr>
        <w:tc>
          <w:tcPr>
            <w:tcW w:w="624" w:type="dxa"/>
            <w:vAlign w:val="center"/>
            <w:textDirection w:val="lrTb"/>
            <w:noWrap w:val="false"/>
          </w:tcPr>
          <w:p>
            <w:pPr>
              <w:ind w:firstLine="28"/>
              <w:jc w:val="center"/>
              <w:spacing w:line="240" w:lineRule="auto"/>
              <w:rPr>
                <w:color w:val="000000"/>
                <w:sz w:val="21"/>
                <w:szCs w:val="21"/>
                <w:highlight w:val="none"/>
              </w:rPr>
            </w:pPr>
            <w:r>
              <w:rPr>
                <w:rFonts w:hint="eastAsia"/>
                <w:color w:val="000000"/>
                <w:sz w:val="21"/>
                <w:szCs w:val="21"/>
                <w:highlight w:val="none"/>
              </w:rPr>
              <w:t xml:space="preserve">2</w:t>
            </w:r>
            <w:r/>
          </w:p>
        </w:tc>
        <w:tc>
          <w:tcPr>
            <w:tcW w:w="1304" w:type="dxa"/>
            <w:vAlign w:val="center"/>
            <w:textDirection w:val="lrTb"/>
            <w:noWrap w:val="false"/>
          </w:tcPr>
          <w:p>
            <w:pPr>
              <w:ind w:firstLine="28"/>
              <w:jc w:val="center"/>
              <w:spacing w:line="240" w:lineRule="auto"/>
              <w:rPr>
                <w:rFonts w:hint="eastAsia" w:eastAsia="宋体"/>
                <w:color w:val="000000"/>
                <w:sz w:val="21"/>
                <w:szCs w:val="21"/>
                <w:highlight w:val="none"/>
                <w:lang w:eastAsia="zh-CN"/>
              </w:rPr>
            </w:pPr>
            <w:r>
              <w:rPr>
                <w:rFonts w:hint="eastAsia" w:ascii="宋体" w:hAnsi="宋体" w:cs="宋体"/>
                <w:b/>
                <w:bCs/>
                <w:color w:val="000000"/>
                <w:sz w:val="21"/>
                <w:szCs w:val="21"/>
                <w:highlight w:val="none"/>
                <w:lang w:val="en-US" w:eastAsia="zh-CN"/>
              </w:rPr>
              <w:t xml:space="preserve">主观分</w:t>
            </w:r>
            <w:r/>
          </w:p>
        </w:tc>
        <w:tc>
          <w:tcPr>
            <w:tcW w:w="680" w:type="dxa"/>
            <w:vAlign w:val="center"/>
            <w:textDirection w:val="lrTb"/>
            <w:noWrap w:val="false"/>
          </w:tcPr>
          <w:p>
            <w:pPr>
              <w:ind w:firstLine="28"/>
              <w:jc w:val="center"/>
              <w:spacing w:line="240" w:lineRule="auto"/>
              <w:rPr>
                <w:rFonts w:hint="default" w:eastAsia="宋体"/>
                <w:color w:val="000000"/>
                <w:sz w:val="21"/>
                <w:szCs w:val="21"/>
                <w:highlight w:val="none"/>
                <w:lang w:val="en-US" w:eastAsia="zh-CN"/>
              </w:rPr>
            </w:pPr>
            <w:r>
              <w:rPr>
                <w:rFonts w:hint="eastAsia"/>
                <w:color w:val="000000"/>
                <w:sz w:val="21"/>
                <w:szCs w:val="21"/>
                <w:highlight w:val="none"/>
                <w:lang w:val="en-US" w:eastAsia="zh-CN"/>
              </w:rPr>
              <w:t xml:space="preserve">70</w:t>
            </w:r>
            <w:r/>
          </w:p>
        </w:tc>
        <w:tc>
          <w:tcPr>
            <w:tcW w:w="4592" w:type="dxa"/>
            <w:vAlign w:val="center"/>
            <w:textDirection w:val="lrTb"/>
            <w:noWrap w:val="false"/>
          </w:tcPr>
          <w:p>
            <w:pPr>
              <w:spacing w:line="240" w:lineRule="auto"/>
              <w:rPr>
                <w:color w:val="000000"/>
                <w:sz w:val="21"/>
                <w:szCs w:val="21"/>
                <w:highlight w:val="none"/>
              </w:rPr>
            </w:pPr>
            <w:r>
              <w:rPr>
                <w:color w:val="000000"/>
                <w:sz w:val="21"/>
                <w:szCs w:val="21"/>
                <w:highlight w:val="none"/>
              </w:rPr>
            </w:r>
            <w:r/>
          </w:p>
        </w:tc>
        <w:tc>
          <w:tcPr>
            <w:tcW w:w="2153" w:type="dxa"/>
            <w:vAlign w:val="center"/>
            <w:textDirection w:val="lrTb"/>
            <w:noWrap w:val="false"/>
          </w:tcPr>
          <w:p>
            <w:pPr>
              <w:ind w:left="-38"/>
              <w:spacing w:line="240" w:lineRule="auto"/>
              <w:rPr>
                <w:color w:val="000000"/>
                <w:sz w:val="21"/>
                <w:szCs w:val="21"/>
                <w:highlight w:val="none"/>
              </w:rPr>
            </w:pPr>
            <w:r>
              <w:rPr>
                <w:color w:val="000000"/>
                <w:sz w:val="21"/>
                <w:szCs w:val="21"/>
                <w:highlight w:val="none"/>
              </w:rPr>
            </w:r>
            <w:r/>
          </w:p>
        </w:tc>
      </w:tr>
      <w:tr>
        <w:trPr>
          <w:trHeight w:val="1236"/>
        </w:trPr>
        <w:tc>
          <w:tcPr>
            <w:tcW w:w="624" w:type="dxa"/>
            <w:vAlign w:val="center"/>
            <w:textDirection w:val="lrTb"/>
            <w:noWrap w:val="false"/>
          </w:tcPr>
          <w:p>
            <w:pPr>
              <w:ind w:firstLine="28"/>
              <w:jc w:val="center"/>
              <w:spacing w:line="240" w:lineRule="auto"/>
              <w:rPr>
                <w:color w:val="000000"/>
                <w:sz w:val="21"/>
                <w:szCs w:val="21"/>
                <w:highlight w:val="none"/>
              </w:rPr>
            </w:pPr>
            <w:r>
              <w:rPr>
                <w:rFonts w:hint="eastAsia"/>
                <w:color w:val="000000"/>
                <w:sz w:val="21"/>
                <w:szCs w:val="21"/>
                <w:highlight w:val="none"/>
              </w:rPr>
              <w:t xml:space="preserve">2.1</w:t>
            </w:r>
            <w:r/>
          </w:p>
        </w:tc>
        <w:tc>
          <w:tcPr>
            <w:tcW w:w="1304" w:type="dxa"/>
            <w:vAlign w:val="center"/>
            <w:textDirection w:val="lrTb"/>
            <w:noWrap w:val="false"/>
          </w:tcPr>
          <w:p>
            <w:pPr>
              <w:ind w:firstLine="28"/>
              <w:jc w:val="center"/>
              <w:spacing w:line="240" w:lineRule="auto"/>
              <w:rPr>
                <w:color w:val="000000"/>
                <w:sz w:val="21"/>
                <w:szCs w:val="21"/>
                <w:highlight w:val="none"/>
              </w:rPr>
            </w:pPr>
            <w:r>
              <w:rPr>
                <w:rFonts w:hint="eastAsia" w:ascii="宋体" w:hAnsi="宋体" w:cs="宋体"/>
                <w:color w:val="000000"/>
                <w:sz w:val="21"/>
                <w:szCs w:val="21"/>
                <w:highlight w:val="none"/>
              </w:rPr>
              <w:t xml:space="preserve">年度养护计划</w:t>
            </w:r>
            <w:r/>
          </w:p>
        </w:tc>
        <w:tc>
          <w:tcPr>
            <w:tcW w:w="680" w:type="dxa"/>
            <w:vAlign w:val="center"/>
            <w:textDirection w:val="lrTb"/>
            <w:noWrap w:val="false"/>
          </w:tcPr>
          <w:p>
            <w:pPr>
              <w:ind w:firstLine="28"/>
              <w:jc w:val="center"/>
              <w:spacing w:line="240" w:lineRule="auto"/>
              <w:rPr>
                <w:rFonts w:hint="default" w:eastAsia="宋体"/>
                <w:color w:val="000000"/>
                <w:sz w:val="21"/>
                <w:szCs w:val="21"/>
                <w:highlight w:val="none"/>
                <w:lang w:val="en-US" w:eastAsia="zh-CN"/>
              </w:rPr>
            </w:pPr>
            <w:r>
              <w:rPr>
                <w:rFonts w:hint="eastAsia"/>
                <w:color w:val="000000"/>
                <w:sz w:val="21"/>
                <w:szCs w:val="21"/>
                <w:highlight w:val="none"/>
                <w:lang w:val="en-US" w:eastAsia="zh-CN"/>
              </w:rPr>
              <w:t xml:space="preserve">10</w:t>
            </w:r>
            <w:r/>
          </w:p>
        </w:tc>
        <w:tc>
          <w:tcPr>
            <w:tcW w:w="4592" w:type="dxa"/>
            <w:vAlign w:val="center"/>
            <w:textDirection w:val="lrTb"/>
            <w:noWrap w:val="false"/>
          </w:tcPr>
          <w:p>
            <w:pP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1、养护月历</w:t>
            </w:r>
            <w:r/>
          </w:p>
          <w:p>
            <w:pPr>
              <w:numPr>
                <w:ilvl w:val="0"/>
                <w:numId w:val="12"/>
              </w:numP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冬季涂白实施计划与标准</w:t>
            </w:r>
            <w:r/>
          </w:p>
          <w:p>
            <w:pPr>
              <w:numPr>
                <w:ilvl w:val="0"/>
                <w:numId w:val="12"/>
              </w:numPr>
              <w:spacing w:line="24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标段情况调查和养护情况分析</w:t>
            </w:r>
            <w:r/>
          </w:p>
          <w:p>
            <w:pPr>
              <w:numPr>
                <w:ilvl w:val="0"/>
                <w:numId w:val="12"/>
              </w:numPr>
              <w:spacing w:line="24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总体养护组织布置及规划，进行综合比较：</w:t>
            </w:r>
            <w:r/>
          </w:p>
          <w:p>
            <w:pPr>
              <w:jc w:val="left"/>
              <w:spacing w:line="240" w:lineRule="auto"/>
              <w:tabs>
                <w:tab w:val="left" w:pos="5325" w:leader="none"/>
              </w:tabs>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计划全面完善，科学合理，可操作性强的得</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分；</w:t>
            </w:r>
            <w:r/>
          </w:p>
          <w:p>
            <w:pPr>
              <w:jc w:val="left"/>
              <w:spacing w:line="240" w:lineRule="auto"/>
              <w:tabs>
                <w:tab w:val="left" w:pos="5325" w:leader="none"/>
              </w:tabs>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计划</w:t>
            </w:r>
            <w:r>
              <w:rPr>
                <w:rFonts w:hint="eastAsia" w:ascii="宋体" w:hAnsi="宋体" w:cs="宋体"/>
                <w:color w:val="000000"/>
                <w:sz w:val="21"/>
                <w:szCs w:val="21"/>
                <w:highlight w:val="none"/>
                <w:lang w:val="en-US" w:eastAsia="zh-CN"/>
              </w:rPr>
              <w:t xml:space="preserve">较为</w:t>
            </w:r>
            <w:r>
              <w:rPr>
                <w:rFonts w:hint="eastAsia" w:ascii="宋体" w:hAnsi="宋体" w:cs="宋体"/>
                <w:color w:val="000000"/>
                <w:sz w:val="21"/>
                <w:szCs w:val="21"/>
                <w:highlight w:val="none"/>
              </w:rPr>
              <w:t xml:space="preserve">完整，较合理、操作性</w:t>
            </w:r>
            <w:r>
              <w:rPr>
                <w:rFonts w:hint="eastAsia" w:ascii="宋体" w:hAnsi="宋体" w:cs="宋体"/>
                <w:color w:val="000000"/>
                <w:sz w:val="21"/>
                <w:szCs w:val="21"/>
                <w:highlight w:val="none"/>
                <w:lang w:val="en-US" w:eastAsia="zh-CN"/>
              </w:rPr>
              <w:t xml:space="preserve">较好</w:t>
            </w:r>
            <w:r>
              <w:rPr>
                <w:rFonts w:hint="eastAsia" w:ascii="宋体" w:hAnsi="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分；</w:t>
            </w:r>
            <w:r/>
          </w:p>
          <w:p>
            <w:pPr>
              <w:spacing w:line="24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计划基本完整，操作性一般的得4分；</w:t>
            </w:r>
            <w:r/>
          </w:p>
          <w:p>
            <w:pPr>
              <w:spacing w:line="24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计划凌乱、有缺失，少量有操作性的得</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p>
          <w:p>
            <w:pPr>
              <w:spacing w:line="240" w:lineRule="auto"/>
              <w:rPr>
                <w:rFonts w:eastAsia="宋体"/>
                <w:color w:val="000000"/>
                <w:sz w:val="21"/>
                <w:szCs w:val="21"/>
                <w:highlight w:val="none"/>
                <w:lang w:val="en-US" w:eastAsia="zh-CN"/>
              </w:rPr>
            </w:pPr>
            <w:r>
              <w:rPr>
                <w:rFonts w:hint="eastAsia" w:ascii="宋体" w:hAnsi="宋体" w:cs="宋体"/>
                <w:color w:val="000000"/>
                <w:sz w:val="21"/>
                <w:szCs w:val="21"/>
                <w:highlight w:val="none"/>
              </w:rPr>
              <w:t xml:space="preserve">未提供不得分。</w:t>
            </w:r>
            <w:r/>
          </w:p>
        </w:tc>
        <w:tc>
          <w:tcPr>
            <w:tcW w:w="2153" w:type="dxa"/>
            <w:vAlign w:val="center"/>
            <w:textDirection w:val="lrTb"/>
            <w:noWrap w:val="false"/>
          </w:tcPr>
          <w:p>
            <w:pPr>
              <w:ind w:left="-38"/>
              <w:spacing w:line="240" w:lineRule="auto"/>
              <w:rPr>
                <w:color w:val="000000"/>
                <w:sz w:val="21"/>
                <w:szCs w:val="21"/>
                <w:highlight w:val="none"/>
              </w:rPr>
            </w:pPr>
            <w:r>
              <w:rPr>
                <w:color w:val="000000"/>
                <w:sz w:val="21"/>
                <w:szCs w:val="21"/>
                <w:highlight w:val="none"/>
              </w:rPr>
            </w:r>
            <w:r/>
          </w:p>
        </w:tc>
      </w:tr>
      <w:tr>
        <w:trPr>
          <w:trHeight w:val="686"/>
        </w:trPr>
        <w:tc>
          <w:tcPr>
            <w:tcW w:w="624" w:type="dxa"/>
            <w:vAlign w:val="center"/>
            <w:textDirection w:val="lrTb"/>
            <w:noWrap w:val="false"/>
          </w:tcPr>
          <w:p>
            <w:pPr>
              <w:ind w:firstLine="28"/>
              <w:jc w:val="center"/>
              <w:spacing w:line="240" w:lineRule="auto"/>
              <w:rPr>
                <w:rFonts w:eastAsia="宋体"/>
                <w:color w:val="000000"/>
                <w:sz w:val="21"/>
                <w:szCs w:val="21"/>
                <w:highlight w:val="none"/>
                <w:lang w:val="en-US" w:eastAsia="zh-CN"/>
              </w:rPr>
            </w:pPr>
            <w:r>
              <w:rPr>
                <w:rFonts w:hint="eastAsia"/>
                <w:color w:val="000000"/>
                <w:sz w:val="21"/>
                <w:szCs w:val="21"/>
                <w:highlight w:val="none"/>
                <w:lang w:val="en-US" w:eastAsia="zh-CN"/>
              </w:rPr>
              <w:t xml:space="preserve">2.2</w:t>
            </w:r>
            <w:r/>
          </w:p>
        </w:tc>
        <w:tc>
          <w:tcPr>
            <w:tcW w:w="1304" w:type="dxa"/>
            <w:vAlign w:val="center"/>
            <w:textDirection w:val="lrTb"/>
            <w:noWrap w:val="false"/>
          </w:tcPr>
          <w:p>
            <w:pPr>
              <w:ind w:firstLine="28"/>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病虫害防治方案</w:t>
            </w:r>
            <w:r/>
          </w:p>
        </w:tc>
        <w:tc>
          <w:tcPr>
            <w:tcW w:w="680" w:type="dxa"/>
            <w:vAlign w:val="center"/>
            <w:textDirection w:val="lrTb"/>
            <w:noWrap w:val="false"/>
          </w:tcPr>
          <w:p>
            <w:pPr>
              <w:ind w:firstLine="28"/>
              <w:jc w:val="center"/>
              <w:spacing w:line="240" w:lineRule="auto"/>
              <w:rPr>
                <w:rFonts w:hint="default"/>
                <w:color w:val="000000"/>
                <w:sz w:val="21"/>
                <w:szCs w:val="21"/>
                <w:highlight w:val="none"/>
                <w:lang w:val="en-US" w:eastAsia="zh-CN"/>
              </w:rPr>
            </w:pPr>
            <w:r>
              <w:rPr>
                <w:rFonts w:hint="eastAsia"/>
                <w:color w:val="000000"/>
                <w:sz w:val="21"/>
                <w:szCs w:val="21"/>
                <w:highlight w:val="none"/>
                <w:lang w:val="en-US" w:eastAsia="zh-CN"/>
              </w:rPr>
              <w:t xml:space="preserve">12</w:t>
            </w:r>
            <w:r/>
          </w:p>
        </w:tc>
        <w:tc>
          <w:tcPr>
            <w:tcW w:w="4592" w:type="dxa"/>
            <w:vAlign w:val="center"/>
            <w:textDirection w:val="lrTb"/>
            <w:noWrap w:val="false"/>
          </w:tcPr>
          <w:p>
            <w:pPr>
              <w:numPr>
                <w:ilvl w:val="0"/>
                <w:numId w:val="13"/>
              </w:numP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食叶性害虫防治方案</w:t>
            </w:r>
            <w:r/>
          </w:p>
          <w:p>
            <w:pPr>
              <w:numPr>
                <w:ilvl w:val="0"/>
                <w:numId w:val="13"/>
              </w:numPr>
              <w:ind w:left="0" w:firstLine="0"/>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蛀干性害虫防治方案</w:t>
            </w:r>
            <w:r/>
          </w:p>
          <w:p>
            <w:pPr>
              <w:numPr>
                <w:ilvl w:val="0"/>
                <w:numId w:val="13"/>
              </w:numPr>
              <w:ind w:left="0" w:firstLine="0"/>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刺吸式害虫防治方案</w:t>
            </w:r>
            <w:r/>
          </w:p>
          <w:p>
            <w:pPr>
              <w:numPr>
                <w:ilvl w:val="0"/>
                <w:numId w:val="0"/>
              </w:numPr>
              <w:spacing w:line="24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4、常见病害防治方案，进行综合比较：</w:t>
            </w:r>
            <w:r/>
          </w:p>
          <w:p>
            <w:pPr>
              <w:jc w:val="left"/>
              <w:spacing w:line="240" w:lineRule="auto"/>
              <w:tabs>
                <w:tab w:val="left" w:pos="5325"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方案全面完善，针对性及可行性强得</w:t>
            </w: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rPr>
              <w:t xml:space="preserve">分；</w:t>
            </w:r>
            <w:r/>
          </w:p>
          <w:p>
            <w:pPr>
              <w:jc w:val="left"/>
              <w:spacing w:line="240" w:lineRule="auto"/>
              <w:tabs>
                <w:tab w:val="left" w:pos="5325" w:leader="none"/>
              </w:tabs>
              <w:rPr>
                <w:rFonts w:hint="eastAsia"/>
                <w:lang w:eastAsia="zh-CN"/>
              </w:rPr>
            </w:pPr>
            <w:r>
              <w:rPr>
                <w:rFonts w:hint="eastAsia" w:ascii="宋体" w:hAnsi="宋体" w:cs="宋体"/>
                <w:color w:val="000000"/>
                <w:sz w:val="21"/>
                <w:szCs w:val="21"/>
                <w:highlight w:val="none"/>
              </w:rPr>
              <w:t xml:space="preserve">方案</w:t>
            </w:r>
            <w:r>
              <w:rPr>
                <w:rFonts w:hint="eastAsia" w:ascii="宋体" w:hAnsi="宋体" w:cs="宋体"/>
                <w:color w:val="000000"/>
                <w:sz w:val="21"/>
                <w:szCs w:val="21"/>
                <w:highlight w:val="none"/>
                <w:lang w:val="en-US" w:eastAsia="zh-CN"/>
              </w:rPr>
              <w:t xml:space="preserve">较为</w:t>
            </w:r>
            <w:r>
              <w:rPr>
                <w:rFonts w:hint="eastAsia" w:ascii="宋体" w:hAnsi="宋体" w:cs="宋体"/>
                <w:color w:val="000000"/>
                <w:sz w:val="21"/>
                <w:szCs w:val="21"/>
                <w:highlight w:val="none"/>
              </w:rPr>
              <w:t xml:space="preserve">完整，针对性及可行性</w:t>
            </w:r>
            <w:r>
              <w:rPr>
                <w:rFonts w:hint="eastAsia" w:ascii="宋体" w:hAnsi="宋体" w:cs="宋体"/>
                <w:color w:val="000000"/>
                <w:sz w:val="21"/>
                <w:szCs w:val="21"/>
                <w:highlight w:val="none"/>
                <w:lang w:val="en-US" w:eastAsia="zh-CN"/>
              </w:rPr>
              <w:t xml:space="preserve">较强</w:t>
            </w:r>
            <w:r>
              <w:rPr>
                <w:rFonts w:hint="eastAsia" w:ascii="宋体" w:hAnsi="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分；</w:t>
            </w:r>
            <w:r/>
          </w:p>
          <w:p>
            <w:pPr>
              <w:jc w:val="left"/>
              <w:spacing w:line="240" w:lineRule="auto"/>
              <w:tabs>
                <w:tab w:val="left" w:pos="5325" w:leader="none"/>
              </w:tabs>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方案基本完整，针对性及可行性一般的得</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分；</w:t>
            </w:r>
            <w:r/>
          </w:p>
          <w:p>
            <w:pPr>
              <w:spacing w:line="24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rPr>
              <w:t xml:space="preserve">方案内容不完整，缺漏较多，少量具有可行性的得</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p>
          <w:p>
            <w:pPr>
              <w:spacing w:line="24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未提供不得分。</w:t>
            </w:r>
            <w:r/>
          </w:p>
        </w:tc>
        <w:tc>
          <w:tcPr>
            <w:tcW w:w="2153" w:type="dxa"/>
            <w:vAlign w:val="center"/>
            <w:textDirection w:val="lrTb"/>
            <w:noWrap w:val="false"/>
          </w:tcPr>
          <w:p>
            <w:pPr>
              <w:ind w:left="-38"/>
              <w:spacing w:line="240" w:lineRule="auto"/>
              <w:rPr>
                <w:color w:val="000000"/>
                <w:sz w:val="21"/>
                <w:szCs w:val="21"/>
                <w:highlight w:val="none"/>
              </w:rPr>
            </w:pPr>
            <w:r>
              <w:rPr>
                <w:color w:val="000000"/>
                <w:sz w:val="21"/>
                <w:szCs w:val="21"/>
                <w:highlight w:val="none"/>
              </w:rPr>
            </w:r>
            <w:r/>
          </w:p>
        </w:tc>
      </w:tr>
      <w:tr>
        <w:trPr>
          <w:trHeight w:val="821"/>
        </w:trPr>
        <w:tc>
          <w:tcPr>
            <w:tcW w:w="624" w:type="dxa"/>
            <w:vAlign w:val="center"/>
            <w:textDirection w:val="lrTb"/>
            <w:noWrap w:val="false"/>
          </w:tcPr>
          <w:p>
            <w:pPr>
              <w:ind w:firstLine="28"/>
              <w:jc w:val="center"/>
              <w:spacing w:line="240" w:lineRule="auto"/>
              <w:rPr>
                <w:rFonts w:eastAsia="宋体"/>
                <w:color w:val="000000"/>
                <w:sz w:val="21"/>
                <w:szCs w:val="21"/>
                <w:highlight w:val="none"/>
                <w:lang w:val="en-US" w:eastAsia="zh-CN"/>
              </w:rPr>
            </w:pPr>
            <w:r>
              <w:rPr>
                <w:rFonts w:hint="eastAsia"/>
                <w:color w:val="000000"/>
                <w:sz w:val="21"/>
                <w:szCs w:val="21"/>
                <w:highlight w:val="none"/>
                <w:lang w:val="en-US" w:eastAsia="zh-CN"/>
              </w:rPr>
              <w:t xml:space="preserve">2.3</w:t>
            </w:r>
            <w:r/>
          </w:p>
        </w:tc>
        <w:tc>
          <w:tcPr>
            <w:tcW w:w="1304" w:type="dxa"/>
            <w:vAlign w:val="center"/>
            <w:textDirection w:val="lrTb"/>
            <w:noWrap w:val="false"/>
          </w:tcPr>
          <w:p>
            <w:pPr>
              <w:ind w:firstLine="28"/>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植物修剪方案</w:t>
            </w:r>
            <w:r/>
          </w:p>
        </w:tc>
        <w:tc>
          <w:tcPr>
            <w:tcW w:w="680" w:type="dxa"/>
            <w:vAlign w:val="center"/>
            <w:textDirection w:val="lrTb"/>
            <w:noWrap w:val="false"/>
          </w:tcPr>
          <w:p>
            <w:pPr>
              <w:ind w:firstLine="28"/>
              <w:jc w:val="center"/>
              <w:spacing w:line="240" w:lineRule="auto"/>
              <w:rPr>
                <w:rFonts w:hint="default"/>
                <w:color w:val="000000"/>
                <w:sz w:val="21"/>
                <w:szCs w:val="21"/>
                <w:highlight w:val="none"/>
                <w:lang w:val="en-US" w:eastAsia="zh-CN"/>
              </w:rPr>
            </w:pPr>
            <w:r>
              <w:rPr>
                <w:rFonts w:hint="eastAsia"/>
                <w:color w:val="000000"/>
                <w:sz w:val="21"/>
                <w:szCs w:val="21"/>
                <w:highlight w:val="none"/>
                <w:lang w:val="en-US" w:eastAsia="zh-CN"/>
              </w:rPr>
              <w:t xml:space="preserve">12</w:t>
            </w:r>
            <w:r/>
          </w:p>
        </w:tc>
        <w:tc>
          <w:tcPr>
            <w:tcW w:w="4592" w:type="dxa"/>
            <w:vAlign w:val="center"/>
            <w:textDirection w:val="lrTb"/>
            <w:noWrap w:val="false"/>
          </w:tcPr>
          <w:p>
            <w:pPr>
              <w:numPr>
                <w:ilvl w:val="0"/>
                <w:numId w:val="14"/>
              </w:numP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大型乔木修剪方案</w:t>
            </w:r>
            <w:r/>
          </w:p>
          <w:p>
            <w:pPr>
              <w:numPr>
                <w:ilvl w:val="0"/>
                <w:numId w:val="14"/>
              </w:numPr>
              <w:ind w:left="0" w:firstLine="0"/>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绿篱色块修剪方案</w:t>
            </w:r>
            <w:r/>
          </w:p>
          <w:p>
            <w:pPr>
              <w:numPr>
                <w:ilvl w:val="0"/>
                <w:numId w:val="14"/>
              </w:numPr>
              <w:ind w:left="0" w:firstLine="0"/>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草坪修剪方案</w:t>
            </w:r>
            <w:r/>
          </w:p>
          <w:p>
            <w:pPr>
              <w:numPr>
                <w:ilvl w:val="0"/>
                <w:numId w:val="0"/>
              </w:numPr>
              <w:spacing w:line="24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4、常见花灌木修剪方案，进行综合比较：</w:t>
            </w:r>
            <w:r/>
          </w:p>
          <w:p>
            <w:pPr>
              <w:jc w:val="left"/>
              <w:spacing w:line="240" w:lineRule="auto"/>
              <w:tabs>
                <w:tab w:val="left" w:pos="5325"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方案全面完善，针对性及可行性强得</w:t>
            </w: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rPr>
              <w:t xml:space="preserve">分；</w:t>
            </w:r>
            <w:r/>
          </w:p>
          <w:p>
            <w:pPr>
              <w:jc w:val="left"/>
              <w:spacing w:line="240" w:lineRule="auto"/>
              <w:tabs>
                <w:tab w:val="left" w:pos="5325" w:leader="none"/>
              </w:tabs>
              <w:rPr>
                <w:rFonts w:hint="eastAsia"/>
                <w:lang w:eastAsia="zh-CN"/>
              </w:rPr>
            </w:pPr>
            <w:r>
              <w:rPr>
                <w:rFonts w:hint="eastAsia" w:ascii="宋体" w:hAnsi="宋体" w:cs="宋体"/>
                <w:color w:val="000000"/>
                <w:sz w:val="21"/>
                <w:szCs w:val="21"/>
                <w:highlight w:val="none"/>
              </w:rPr>
              <w:t xml:space="preserve">方案</w:t>
            </w:r>
            <w:r>
              <w:rPr>
                <w:rFonts w:hint="eastAsia" w:ascii="宋体" w:hAnsi="宋体" w:cs="宋体"/>
                <w:color w:val="000000"/>
                <w:sz w:val="21"/>
                <w:szCs w:val="21"/>
                <w:highlight w:val="none"/>
                <w:lang w:val="en-US" w:eastAsia="zh-CN"/>
              </w:rPr>
              <w:t xml:space="preserve">较为</w:t>
            </w:r>
            <w:r>
              <w:rPr>
                <w:rFonts w:hint="eastAsia" w:ascii="宋体" w:hAnsi="宋体" w:cs="宋体"/>
                <w:color w:val="000000"/>
                <w:sz w:val="21"/>
                <w:szCs w:val="21"/>
                <w:highlight w:val="none"/>
              </w:rPr>
              <w:t xml:space="preserve">完整，针对性及可行性</w:t>
            </w:r>
            <w:r>
              <w:rPr>
                <w:rFonts w:hint="eastAsia" w:ascii="宋体" w:hAnsi="宋体" w:cs="宋体"/>
                <w:color w:val="000000"/>
                <w:sz w:val="21"/>
                <w:szCs w:val="21"/>
                <w:highlight w:val="none"/>
                <w:lang w:val="en-US" w:eastAsia="zh-CN"/>
              </w:rPr>
              <w:t xml:space="preserve">较强</w:t>
            </w:r>
            <w:r>
              <w:rPr>
                <w:rFonts w:hint="eastAsia" w:ascii="宋体" w:hAnsi="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分；</w:t>
            </w:r>
            <w:r/>
          </w:p>
          <w:p>
            <w:pPr>
              <w:jc w:val="left"/>
              <w:spacing w:line="240" w:lineRule="auto"/>
              <w:tabs>
                <w:tab w:val="left" w:pos="5325" w:leader="none"/>
              </w:tabs>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方案基本完整，针对性及可行性一般的得</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分；</w:t>
            </w:r>
            <w:r/>
          </w:p>
          <w:p>
            <w:pPr>
              <w:spacing w:line="24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rPr>
              <w:t xml:space="preserve">方案内容不完整，缺漏较多，少量具有可行性的得</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p>
          <w:p>
            <w:pPr>
              <w:spacing w:line="24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未提供不得分。</w:t>
            </w:r>
            <w:r/>
          </w:p>
        </w:tc>
        <w:tc>
          <w:tcPr>
            <w:tcW w:w="2153" w:type="dxa"/>
            <w:vAlign w:val="center"/>
            <w:textDirection w:val="lrTb"/>
            <w:noWrap w:val="false"/>
          </w:tcPr>
          <w:p>
            <w:pPr>
              <w:ind w:left="-38"/>
              <w:spacing w:line="240" w:lineRule="auto"/>
              <w:rPr>
                <w:color w:val="000000"/>
                <w:sz w:val="21"/>
                <w:szCs w:val="21"/>
                <w:highlight w:val="none"/>
              </w:rPr>
            </w:pPr>
            <w:r>
              <w:rPr>
                <w:color w:val="000000"/>
                <w:sz w:val="21"/>
                <w:szCs w:val="21"/>
                <w:highlight w:val="none"/>
              </w:rPr>
            </w:r>
            <w:r/>
          </w:p>
        </w:tc>
      </w:tr>
      <w:tr>
        <w:trPr>
          <w:trHeight w:val="530"/>
        </w:trPr>
        <w:tc>
          <w:tcPr>
            <w:tcW w:w="624" w:type="dxa"/>
            <w:vAlign w:val="center"/>
            <w:textDirection w:val="lrTb"/>
            <w:noWrap w:val="false"/>
          </w:tcPr>
          <w:p>
            <w:pPr>
              <w:ind w:firstLine="28"/>
              <w:jc w:val="center"/>
              <w:spacing w:line="240" w:lineRule="auto"/>
              <w:rPr>
                <w:rFonts w:eastAsia="宋体"/>
                <w:color w:val="000000"/>
                <w:sz w:val="21"/>
                <w:szCs w:val="21"/>
                <w:highlight w:val="none"/>
                <w:lang w:val="en-US" w:eastAsia="zh-CN"/>
              </w:rPr>
            </w:pPr>
            <w:r>
              <w:rPr>
                <w:rFonts w:hint="eastAsia"/>
                <w:color w:val="000000"/>
                <w:sz w:val="21"/>
                <w:szCs w:val="21"/>
                <w:highlight w:val="none"/>
                <w:lang w:val="en-US" w:eastAsia="zh-CN"/>
              </w:rPr>
              <w:t xml:space="preserve">2.4</w:t>
            </w:r>
            <w:r/>
          </w:p>
        </w:tc>
        <w:tc>
          <w:tcPr>
            <w:tcW w:w="1304" w:type="dxa"/>
            <w:vAlign w:val="center"/>
            <w:textDirection w:val="lrTb"/>
            <w:noWrap w:val="false"/>
          </w:tcPr>
          <w:p>
            <w:pPr>
              <w:ind w:firstLine="28"/>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极端天气和突发事件预案</w:t>
            </w:r>
            <w:r/>
          </w:p>
        </w:tc>
        <w:tc>
          <w:tcPr>
            <w:tcW w:w="680" w:type="dxa"/>
            <w:vAlign w:val="center"/>
            <w:textDirection w:val="lrTb"/>
            <w:noWrap w:val="false"/>
          </w:tcPr>
          <w:p>
            <w:pPr>
              <w:ind w:firstLine="28"/>
              <w:jc w:val="center"/>
              <w:spacing w:line="240" w:lineRule="auto"/>
              <w:rPr>
                <w:rFonts w:hint="default"/>
                <w:color w:val="000000"/>
                <w:sz w:val="21"/>
                <w:szCs w:val="21"/>
                <w:highlight w:val="none"/>
                <w:lang w:val="en-US" w:eastAsia="zh-CN"/>
              </w:rPr>
            </w:pPr>
            <w:r>
              <w:rPr>
                <w:rFonts w:hint="eastAsia"/>
                <w:color w:val="000000"/>
                <w:sz w:val="21"/>
                <w:szCs w:val="21"/>
                <w:highlight w:val="none"/>
                <w:lang w:val="en-US" w:eastAsia="zh-CN"/>
              </w:rPr>
              <w:t xml:space="preserve">12</w:t>
            </w:r>
            <w:r/>
          </w:p>
        </w:tc>
        <w:tc>
          <w:tcPr>
            <w:tcW w:w="4592" w:type="dxa"/>
            <w:vAlign w:val="center"/>
            <w:textDirection w:val="lrTb"/>
            <w:noWrap w:val="false"/>
          </w:tcPr>
          <w:p>
            <w:pPr>
              <w:numPr>
                <w:ilvl w:val="0"/>
                <w:numId w:val="15"/>
              </w:numPr>
              <w:jc w:val="left"/>
              <w:spacing w:line="240" w:lineRule="auto"/>
              <w:tabs>
                <w:tab w:val="left" w:pos="53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抗旱保苗预案</w:t>
            </w:r>
            <w:r/>
          </w:p>
          <w:p>
            <w:pPr>
              <w:numPr>
                <w:ilvl w:val="0"/>
                <w:numId w:val="15"/>
              </w:numPr>
              <w:ind w:left="0" w:firstLine="0"/>
              <w:jc w:val="left"/>
              <w:spacing w:line="240" w:lineRule="auto"/>
              <w:tabs>
                <w:tab w:val="left" w:pos="5325"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防台风应急预案</w:t>
            </w:r>
            <w:r/>
          </w:p>
          <w:p>
            <w:pPr>
              <w:numPr>
                <w:ilvl w:val="0"/>
                <w:numId w:val="15"/>
              </w:numPr>
              <w:ind w:left="0" w:firstLine="0"/>
              <w:jc w:val="left"/>
              <w:spacing w:line="240" w:lineRule="auto"/>
              <w:tabs>
                <w:tab w:val="left" w:pos="53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防寒防冻应急预案</w:t>
            </w:r>
            <w:r/>
          </w:p>
          <w:p>
            <w:pPr>
              <w:numPr>
                <w:ilvl w:val="0"/>
                <w:numId w:val="15"/>
              </w:numPr>
              <w:ind w:left="0" w:firstLine="0"/>
              <w:jc w:val="left"/>
              <w:spacing w:line="240" w:lineRule="auto"/>
              <w:tabs>
                <w:tab w:val="left" w:pos="53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排水防涝应急预案</w:t>
            </w:r>
            <w:r/>
          </w:p>
          <w:p>
            <w:pPr>
              <w:numPr>
                <w:ilvl w:val="0"/>
                <w:numId w:val="0"/>
              </w:numPr>
              <w:jc w:val="left"/>
              <w:spacing w:line="240" w:lineRule="auto"/>
              <w:tabs>
                <w:tab w:val="left" w:pos="53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5、聚众上访事件应急预案，综合比较：</w:t>
            </w:r>
            <w:r/>
          </w:p>
          <w:p>
            <w:pPr>
              <w:jc w:val="left"/>
              <w:spacing w:line="240" w:lineRule="auto"/>
              <w:tabs>
                <w:tab w:val="left" w:pos="5325"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方案全面完善，针对性及可行性强得</w:t>
            </w: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rPr>
              <w:t xml:space="preserve">分；</w:t>
            </w:r>
            <w:r/>
          </w:p>
          <w:p>
            <w:pPr>
              <w:jc w:val="left"/>
              <w:spacing w:line="240" w:lineRule="auto"/>
              <w:tabs>
                <w:tab w:val="left" w:pos="5325" w:leader="none"/>
              </w:tabs>
              <w:rPr>
                <w:rFonts w:hint="eastAsia"/>
                <w:lang w:eastAsia="zh-CN"/>
              </w:rPr>
            </w:pPr>
            <w:r>
              <w:rPr>
                <w:rFonts w:hint="eastAsia" w:ascii="宋体" w:hAnsi="宋体" w:cs="宋体"/>
                <w:color w:val="000000"/>
                <w:sz w:val="21"/>
                <w:szCs w:val="21"/>
                <w:highlight w:val="none"/>
              </w:rPr>
              <w:t xml:space="preserve">方案</w:t>
            </w:r>
            <w:r>
              <w:rPr>
                <w:rFonts w:hint="eastAsia" w:ascii="宋体" w:hAnsi="宋体" w:cs="宋体"/>
                <w:color w:val="000000"/>
                <w:sz w:val="21"/>
                <w:szCs w:val="21"/>
                <w:highlight w:val="none"/>
                <w:lang w:val="en-US" w:eastAsia="zh-CN"/>
              </w:rPr>
              <w:t xml:space="preserve">较为</w:t>
            </w:r>
            <w:r>
              <w:rPr>
                <w:rFonts w:hint="eastAsia" w:ascii="宋体" w:hAnsi="宋体" w:cs="宋体"/>
                <w:color w:val="000000"/>
                <w:sz w:val="21"/>
                <w:szCs w:val="21"/>
                <w:highlight w:val="none"/>
              </w:rPr>
              <w:t xml:space="preserve">完整，针对性及可行性</w:t>
            </w:r>
            <w:r>
              <w:rPr>
                <w:rFonts w:hint="eastAsia" w:ascii="宋体" w:hAnsi="宋体" w:cs="宋体"/>
                <w:color w:val="000000"/>
                <w:sz w:val="21"/>
                <w:szCs w:val="21"/>
                <w:highlight w:val="none"/>
                <w:lang w:val="en-US" w:eastAsia="zh-CN"/>
              </w:rPr>
              <w:t xml:space="preserve">较强</w:t>
            </w:r>
            <w:r>
              <w:rPr>
                <w:rFonts w:hint="eastAsia" w:ascii="宋体" w:hAnsi="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分；</w:t>
            </w:r>
            <w:r/>
          </w:p>
          <w:p>
            <w:pPr>
              <w:jc w:val="left"/>
              <w:spacing w:line="240" w:lineRule="auto"/>
              <w:tabs>
                <w:tab w:val="left" w:pos="5325" w:leader="none"/>
              </w:tabs>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方案基本完整，针对性及可行性一般的得</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分；</w:t>
            </w:r>
            <w:r/>
          </w:p>
          <w:p>
            <w:pPr>
              <w:spacing w:line="24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rPr>
              <w:t xml:space="preserve">方案内容不完整，缺漏较多，少量具有可行性的得</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p>
          <w:p>
            <w:pPr>
              <w:jc w:val="left"/>
              <w:spacing w:line="240" w:lineRule="auto"/>
              <w:tabs>
                <w:tab w:val="left" w:pos="5325" w:leader="none"/>
              </w:tabs>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未提供不得分。</w:t>
            </w:r>
            <w:r/>
          </w:p>
        </w:tc>
        <w:tc>
          <w:tcPr>
            <w:tcW w:w="2153" w:type="dxa"/>
            <w:vAlign w:val="center"/>
            <w:textDirection w:val="lrTb"/>
            <w:noWrap w:val="false"/>
          </w:tcPr>
          <w:p>
            <w:pPr>
              <w:ind w:left="-38"/>
              <w:spacing w:line="240" w:lineRule="auto"/>
              <w:rPr>
                <w:color w:val="000000"/>
                <w:sz w:val="21"/>
                <w:szCs w:val="21"/>
                <w:highlight w:val="none"/>
              </w:rPr>
            </w:pPr>
            <w:r>
              <w:rPr>
                <w:color w:val="000000"/>
                <w:sz w:val="21"/>
                <w:szCs w:val="21"/>
                <w:highlight w:val="none"/>
              </w:rPr>
            </w:r>
            <w:r/>
          </w:p>
        </w:tc>
      </w:tr>
      <w:tr>
        <w:trPr>
          <w:trHeight w:val="530"/>
        </w:trPr>
        <w:tc>
          <w:tcPr>
            <w:tcW w:w="624" w:type="dxa"/>
            <w:vAlign w:val="center"/>
            <w:textDirection w:val="lrTb"/>
            <w:noWrap w:val="false"/>
          </w:tcPr>
          <w:p>
            <w:pPr>
              <w:ind w:firstLine="28"/>
              <w:jc w:val="center"/>
              <w:spacing w:line="240" w:lineRule="auto"/>
              <w:rPr>
                <w:rFonts w:hint="eastAsia"/>
                <w:color w:val="000000"/>
                <w:sz w:val="21"/>
                <w:szCs w:val="21"/>
                <w:highlight w:val="none"/>
                <w:lang w:val="en-US" w:eastAsia="zh-CN"/>
              </w:rPr>
            </w:pPr>
            <w:r>
              <w:rPr>
                <w:rFonts w:hint="eastAsia"/>
                <w:color w:val="000000"/>
                <w:sz w:val="21"/>
                <w:szCs w:val="21"/>
                <w:highlight w:val="none"/>
                <w:lang w:val="en-US" w:eastAsia="zh-CN"/>
              </w:rPr>
              <w:t xml:space="preserve">2.5</w:t>
            </w:r>
            <w:r/>
          </w:p>
        </w:tc>
        <w:tc>
          <w:tcPr>
            <w:tcW w:w="1304" w:type="dxa"/>
            <w:vAlign w:val="center"/>
            <w:textDirection w:val="lrTb"/>
            <w:noWrap w:val="false"/>
          </w:tcPr>
          <w:p>
            <w:pPr>
              <w:ind w:firstLine="28"/>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安全文明保障措施</w:t>
            </w:r>
            <w:r/>
          </w:p>
        </w:tc>
        <w:tc>
          <w:tcPr>
            <w:tcW w:w="680" w:type="dxa"/>
            <w:vAlign w:val="center"/>
            <w:textDirection w:val="lrTb"/>
            <w:noWrap w:val="false"/>
          </w:tcPr>
          <w:p>
            <w:pPr>
              <w:ind w:firstLine="28"/>
              <w:jc w:val="center"/>
              <w:spacing w:line="240" w:lineRule="auto"/>
              <w:rPr>
                <w:rFonts w:hint="default" w:ascii="宋体" w:hAnsi="宋体" w:cs="宋体"/>
                <w:color w:val="000000"/>
                <w:sz w:val="21"/>
                <w:szCs w:val="21"/>
                <w:highlight w:val="none"/>
                <w:lang w:val="en-US"/>
              </w:rPr>
            </w:pPr>
            <w:r>
              <w:rPr>
                <w:rFonts w:hint="eastAsia"/>
                <w:color w:val="000000"/>
                <w:sz w:val="21"/>
                <w:szCs w:val="21"/>
                <w:highlight w:val="none"/>
                <w:lang w:val="en-US" w:eastAsia="zh-CN"/>
              </w:rPr>
              <w:t xml:space="preserve">12</w:t>
            </w:r>
            <w:r/>
          </w:p>
        </w:tc>
        <w:tc>
          <w:tcPr>
            <w:tcW w:w="4592" w:type="dxa"/>
            <w:vAlign w:val="center"/>
            <w:textDirection w:val="lrTb"/>
            <w:noWrap w:val="false"/>
          </w:tcPr>
          <w:p>
            <w:pPr>
              <w:spacing w:line="24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安全文明保障措施（包括但不限于安全文明保障措施、作业安全管理措施、安全设施设备、安全检查记录、安全教育培训计划等）综合比较：</w:t>
            </w:r>
            <w:r/>
          </w:p>
          <w:p>
            <w:pPr>
              <w:jc w:val="left"/>
              <w:spacing w:line="240" w:lineRule="auto"/>
              <w:tabs>
                <w:tab w:val="left" w:pos="5325"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措施全面完善，针对性及可行性强得</w:t>
            </w: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rPr>
              <w:t xml:space="preserve">分；</w:t>
            </w:r>
            <w:r/>
          </w:p>
          <w:p>
            <w:pPr>
              <w:pStyle w:val="782"/>
              <w:rPr>
                <w:rFonts w:hint="eastAsia"/>
                <w:lang w:eastAsia="zh-CN"/>
              </w:rPr>
            </w:pPr>
            <w:r>
              <w:rPr>
                <w:rFonts w:hint="eastAsia" w:ascii="宋体" w:hAnsi="宋体" w:cs="宋体"/>
                <w:color w:val="000000"/>
                <w:sz w:val="21"/>
                <w:szCs w:val="21"/>
                <w:highlight w:val="none"/>
              </w:rPr>
              <w:t xml:space="preserve">措施</w:t>
            </w:r>
            <w:r>
              <w:rPr>
                <w:rFonts w:hint="eastAsia" w:cs="宋体"/>
                <w:color w:val="000000"/>
                <w:sz w:val="21"/>
                <w:szCs w:val="21"/>
                <w:highlight w:val="none"/>
                <w:lang w:val="en-US" w:eastAsia="zh-CN"/>
              </w:rPr>
              <w:t xml:space="preserve">较为</w:t>
            </w:r>
            <w:r>
              <w:rPr>
                <w:rFonts w:hint="eastAsia" w:ascii="宋体" w:hAnsi="宋体" w:cs="宋体"/>
                <w:color w:val="000000"/>
                <w:sz w:val="21"/>
                <w:szCs w:val="21"/>
                <w:highlight w:val="none"/>
              </w:rPr>
              <w:t xml:space="preserve">完善，针对性及可行性</w:t>
            </w:r>
            <w:r>
              <w:rPr>
                <w:rFonts w:hint="eastAsia" w:cs="宋体"/>
                <w:color w:val="000000"/>
                <w:sz w:val="21"/>
                <w:szCs w:val="21"/>
                <w:highlight w:val="none"/>
                <w:lang w:val="en-US" w:eastAsia="zh-CN"/>
              </w:rPr>
              <w:t xml:space="preserve">较</w:t>
            </w:r>
            <w:r>
              <w:rPr>
                <w:rFonts w:hint="eastAsia" w:ascii="宋体" w:hAnsi="宋体" w:cs="宋体"/>
                <w:color w:val="000000"/>
                <w:sz w:val="21"/>
                <w:szCs w:val="21"/>
                <w:highlight w:val="none"/>
              </w:rPr>
              <w:t xml:space="preserve">强得</w:t>
            </w:r>
            <w:r>
              <w:rPr>
                <w:rFonts w:hint="eastAsia"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分；</w:t>
            </w:r>
            <w:r/>
          </w:p>
          <w:p>
            <w:pPr>
              <w:jc w:val="left"/>
              <w:spacing w:line="240" w:lineRule="auto"/>
              <w:tabs>
                <w:tab w:val="left" w:pos="5325" w:leader="none"/>
              </w:tabs>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措施基本完整，针对性及可行性一般的得</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分；</w:t>
            </w:r>
            <w:r/>
          </w:p>
          <w:p>
            <w:pP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措施内容不完整，缺漏较多，部分具有可行性的得2分；</w:t>
            </w:r>
            <w:r/>
          </w:p>
          <w:p>
            <w:pP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未提供方案的不得分。</w:t>
            </w:r>
            <w:r/>
          </w:p>
        </w:tc>
        <w:tc>
          <w:tcPr>
            <w:tcW w:w="2153" w:type="dxa"/>
            <w:vAlign w:val="center"/>
            <w:textDirection w:val="lrTb"/>
            <w:noWrap w:val="false"/>
          </w:tcPr>
          <w:p>
            <w:pPr>
              <w:ind w:left="-38"/>
              <w:spacing w:line="240" w:lineRule="auto"/>
              <w:rPr>
                <w:color w:val="000000"/>
                <w:sz w:val="21"/>
                <w:szCs w:val="21"/>
                <w:highlight w:val="none"/>
              </w:rPr>
            </w:pPr>
            <w:r>
              <w:rPr>
                <w:color w:val="000000"/>
                <w:sz w:val="21"/>
                <w:szCs w:val="21"/>
                <w:highlight w:val="none"/>
              </w:rPr>
            </w:r>
            <w:r/>
          </w:p>
        </w:tc>
      </w:tr>
      <w:tr>
        <w:trPr>
          <w:trHeight w:val="530"/>
        </w:trPr>
        <w:tc>
          <w:tcPr>
            <w:tcW w:w="624" w:type="dxa"/>
            <w:vAlign w:val="center"/>
            <w:textDirection w:val="lrTb"/>
            <w:noWrap w:val="false"/>
          </w:tcPr>
          <w:p>
            <w:pPr>
              <w:ind w:firstLine="28"/>
              <w:jc w:val="center"/>
              <w:spacing w:line="240" w:lineRule="auto"/>
              <w:rPr>
                <w:rFonts w:hint="eastAsia"/>
                <w:color w:val="000000"/>
                <w:sz w:val="21"/>
                <w:szCs w:val="21"/>
                <w:highlight w:val="none"/>
                <w:lang w:val="en-US" w:eastAsia="zh-CN"/>
              </w:rPr>
            </w:pPr>
            <w:r>
              <w:rPr>
                <w:rFonts w:hint="eastAsia"/>
                <w:color w:val="000000"/>
                <w:sz w:val="21"/>
                <w:szCs w:val="21"/>
                <w:highlight w:val="none"/>
                <w:lang w:val="en-US" w:eastAsia="zh-CN"/>
              </w:rPr>
              <w:t xml:space="preserve">2.6</w:t>
            </w:r>
            <w:r/>
          </w:p>
        </w:tc>
        <w:tc>
          <w:tcPr>
            <w:tcW w:w="1304" w:type="dxa"/>
            <w:vAlign w:val="center"/>
            <w:textDirection w:val="lrTb"/>
            <w:noWrap w:val="false"/>
          </w:tcPr>
          <w:p>
            <w:pPr>
              <w:ind w:firstLine="28"/>
              <w:jc w:val="cente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管理制度</w:t>
            </w:r>
            <w:r/>
          </w:p>
        </w:tc>
        <w:tc>
          <w:tcPr>
            <w:tcW w:w="680" w:type="dxa"/>
            <w:vAlign w:val="center"/>
            <w:textDirection w:val="lrTb"/>
            <w:noWrap w:val="false"/>
          </w:tcPr>
          <w:p>
            <w:pPr>
              <w:ind w:firstLine="28"/>
              <w:jc w:val="center"/>
              <w:spacing w:line="240" w:lineRule="auto"/>
              <w:rPr>
                <w:rFonts w:hint="default" w:ascii="宋体" w:hAnsi="宋体" w:cs="宋体"/>
                <w:color w:val="000000"/>
                <w:sz w:val="21"/>
                <w:szCs w:val="21"/>
                <w:highlight w:val="none"/>
                <w:lang w:val="en-US"/>
              </w:rPr>
            </w:pPr>
            <w:r>
              <w:rPr>
                <w:rFonts w:hint="eastAsia"/>
                <w:color w:val="000000"/>
                <w:sz w:val="21"/>
                <w:szCs w:val="21"/>
                <w:highlight w:val="none"/>
                <w:lang w:val="en-US" w:eastAsia="zh-CN"/>
              </w:rPr>
              <w:t xml:space="preserve">12</w:t>
            </w:r>
            <w:r/>
          </w:p>
        </w:tc>
        <w:tc>
          <w:tcPr>
            <w:tcW w:w="4592" w:type="dxa"/>
            <w:vAlign w:val="center"/>
            <w:textDirection w:val="lrTb"/>
            <w:noWrap w:val="false"/>
          </w:tcPr>
          <w:p>
            <w:pPr>
              <w:numPr>
                <w:ilvl w:val="0"/>
                <w:numId w:val="16"/>
              </w:numP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请销假制度</w:t>
            </w:r>
            <w:r/>
          </w:p>
          <w:p>
            <w:pPr>
              <w:numPr>
                <w:ilvl w:val="0"/>
                <w:numId w:val="16"/>
              </w:numPr>
              <w:ind w:left="0" w:firstLine="0"/>
              <w:spacing w:line="24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着装管理制度</w:t>
            </w:r>
            <w:r/>
          </w:p>
          <w:p>
            <w:pPr>
              <w:numPr>
                <w:ilvl w:val="0"/>
                <w:numId w:val="16"/>
              </w:numPr>
              <w:ind w:left="0" w:firstLine="0"/>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上下班考勤制度</w:t>
            </w:r>
            <w:r/>
          </w:p>
          <w:p>
            <w:pPr>
              <w:numPr>
                <w:ilvl w:val="0"/>
                <w:numId w:val="16"/>
              </w:numPr>
              <w:ind w:left="0" w:firstLine="0"/>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保安管理制度</w:t>
            </w:r>
            <w:r/>
          </w:p>
          <w:p>
            <w:pPr>
              <w:numPr>
                <w:ilvl w:val="0"/>
                <w:numId w:val="0"/>
              </w:numPr>
              <w:spacing w:line="24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5、人员罚惩制度，进行综合比较：</w:t>
            </w:r>
            <w:r/>
          </w:p>
          <w:p>
            <w:pPr>
              <w:jc w:val="left"/>
              <w:spacing w:line="240" w:lineRule="auto"/>
              <w:tabs>
                <w:tab w:val="left" w:pos="5325"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制度全面完善，科学合理，可操作性强的得</w:t>
            </w: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rPr>
              <w:t xml:space="preserve">分；</w:t>
            </w:r>
            <w:r/>
          </w:p>
          <w:p>
            <w:pPr>
              <w:jc w:val="left"/>
              <w:spacing w:line="240" w:lineRule="auto"/>
              <w:tabs>
                <w:tab w:val="left" w:pos="5325" w:leader="none"/>
              </w:tabs>
              <w:rPr>
                <w:rFonts w:hint="eastAsia"/>
                <w:lang w:eastAsia="zh-CN"/>
              </w:rPr>
            </w:pPr>
            <w:r>
              <w:rPr>
                <w:rFonts w:hint="eastAsia" w:ascii="宋体" w:hAnsi="宋体" w:cs="宋体"/>
                <w:color w:val="000000"/>
                <w:sz w:val="21"/>
                <w:szCs w:val="21"/>
                <w:highlight w:val="none"/>
              </w:rPr>
              <w:t xml:space="preserve">制度</w:t>
            </w:r>
            <w:r>
              <w:rPr>
                <w:rFonts w:hint="eastAsia" w:ascii="宋体" w:hAnsi="宋体" w:cs="宋体"/>
                <w:color w:val="000000"/>
                <w:sz w:val="21"/>
                <w:szCs w:val="21"/>
                <w:highlight w:val="none"/>
                <w:lang w:val="en-US" w:eastAsia="zh-CN"/>
              </w:rPr>
              <w:t xml:space="preserve">较为</w:t>
            </w:r>
            <w:r>
              <w:rPr>
                <w:rFonts w:hint="eastAsia" w:ascii="宋体" w:hAnsi="宋体" w:cs="宋体"/>
                <w:color w:val="000000"/>
                <w:sz w:val="21"/>
                <w:szCs w:val="21"/>
                <w:highlight w:val="none"/>
              </w:rPr>
              <w:t xml:space="preserve">完善，科学合理，可操作性</w:t>
            </w:r>
            <w:r>
              <w:rPr>
                <w:rFonts w:hint="eastAsia" w:ascii="宋体" w:hAnsi="宋体" w:cs="宋体"/>
                <w:color w:val="000000"/>
                <w:sz w:val="21"/>
                <w:szCs w:val="21"/>
                <w:highlight w:val="none"/>
                <w:lang w:val="en-US" w:eastAsia="zh-CN"/>
              </w:rPr>
              <w:t xml:space="preserve">较</w:t>
            </w:r>
            <w:r>
              <w:rPr>
                <w:rFonts w:hint="eastAsia" w:ascii="宋体" w:hAnsi="宋体" w:cs="宋体"/>
                <w:color w:val="000000"/>
                <w:sz w:val="21"/>
                <w:szCs w:val="21"/>
                <w:highlight w:val="none"/>
              </w:rPr>
              <w:t xml:space="preserve">强的得</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分；</w:t>
            </w:r>
            <w:r/>
          </w:p>
          <w:p>
            <w:pPr>
              <w:jc w:val="left"/>
              <w:spacing w:line="240" w:lineRule="auto"/>
              <w:tabs>
                <w:tab w:val="left" w:pos="5325" w:leader="none"/>
              </w:tabs>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制度基本完整，较合理、操作性一般的得</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分；</w:t>
            </w:r>
            <w:r/>
          </w:p>
          <w:p>
            <w:pPr>
              <w:spacing w:line="24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rPr>
              <w:t xml:space="preserve">计划凌乱、有缺失，少量有操作性的得2分</w:t>
            </w:r>
            <w:r>
              <w:rPr>
                <w:rFonts w:hint="eastAsia" w:ascii="宋体" w:hAnsi="宋体" w:cs="宋体"/>
                <w:color w:val="000000"/>
                <w:sz w:val="21"/>
                <w:szCs w:val="21"/>
                <w:highlight w:val="none"/>
                <w:lang w:eastAsia="zh-CN"/>
              </w:rPr>
              <w:t xml:space="preserve">；</w:t>
            </w:r>
            <w:r/>
          </w:p>
          <w:p>
            <w:pPr>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未提供不得分。</w:t>
            </w:r>
            <w:r/>
          </w:p>
        </w:tc>
        <w:tc>
          <w:tcPr>
            <w:tcW w:w="2153" w:type="dxa"/>
            <w:vAlign w:val="center"/>
            <w:textDirection w:val="lrTb"/>
            <w:noWrap w:val="false"/>
          </w:tcPr>
          <w:p>
            <w:pPr>
              <w:ind w:left="-38"/>
              <w:spacing w:line="240" w:lineRule="auto"/>
              <w:rPr>
                <w:color w:val="000000"/>
                <w:sz w:val="21"/>
                <w:szCs w:val="21"/>
                <w:highlight w:val="none"/>
              </w:rPr>
            </w:pPr>
            <w:r>
              <w:rPr>
                <w:color w:val="000000"/>
                <w:sz w:val="21"/>
                <w:szCs w:val="21"/>
                <w:highlight w:val="none"/>
              </w:rPr>
            </w:r>
            <w:r/>
          </w:p>
        </w:tc>
      </w:tr>
      <w:tr>
        <w:trPr>
          <w:trHeight w:val="90"/>
        </w:trPr>
        <w:tc>
          <w:tcPr>
            <w:tcW w:w="624" w:type="dxa"/>
            <w:vAlign w:val="center"/>
            <w:textDirection w:val="lrTb"/>
            <w:noWrap w:val="false"/>
          </w:tcPr>
          <w:p>
            <w:pPr>
              <w:ind w:firstLine="28"/>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w:t>
            </w:r>
            <w:r/>
          </w:p>
        </w:tc>
        <w:tc>
          <w:tcPr>
            <w:tcW w:w="1304" w:type="dxa"/>
            <w:vAlign w:val="center"/>
            <w:textDirection w:val="lrTb"/>
            <w:noWrap w:val="false"/>
          </w:tcPr>
          <w:p>
            <w:pPr>
              <w:ind w:firstLine="28"/>
              <w:jc w:val="center"/>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客观分</w:t>
            </w:r>
            <w:r/>
          </w:p>
        </w:tc>
        <w:tc>
          <w:tcPr>
            <w:tcW w:w="680" w:type="dxa"/>
            <w:vAlign w:val="center"/>
            <w:textDirection w:val="lrTb"/>
            <w:noWrap w:val="false"/>
          </w:tcPr>
          <w:p>
            <w:pPr>
              <w:ind w:firstLine="28"/>
              <w:jc w:val="center"/>
              <w:spacing w:line="240" w:lineRule="auto"/>
              <w:rPr>
                <w:rFonts w:eastAsia="宋体"/>
                <w:color w:val="000000"/>
                <w:sz w:val="21"/>
                <w:szCs w:val="21"/>
                <w:highlight w:val="none"/>
                <w:lang w:val="en-US" w:eastAsia="zh-CN"/>
              </w:rPr>
            </w:pPr>
            <w:r>
              <w:rPr>
                <w:rFonts w:hint="eastAsia" w:eastAsia="宋体"/>
                <w:color w:val="000000"/>
                <w:sz w:val="21"/>
                <w:szCs w:val="21"/>
                <w:highlight w:val="none"/>
                <w:lang w:val="en-US" w:eastAsia="zh-CN"/>
              </w:rPr>
              <w:t xml:space="preserve">20</w:t>
            </w:r>
            <w:r/>
          </w:p>
        </w:tc>
        <w:tc>
          <w:tcPr>
            <w:tcW w:w="4592" w:type="dxa"/>
            <w:vAlign w:val="center"/>
            <w:textDirection w:val="lrTb"/>
            <w:noWrap w:val="false"/>
          </w:tcPr>
          <w:p>
            <w:pPr>
              <w:spacing w:line="240" w:lineRule="auto"/>
              <w:rPr>
                <w:color w:val="000000"/>
                <w:sz w:val="21"/>
                <w:szCs w:val="21"/>
                <w:highlight w:val="none"/>
              </w:rPr>
            </w:pPr>
            <w:r>
              <w:rPr>
                <w:color w:val="000000"/>
                <w:sz w:val="21"/>
                <w:szCs w:val="21"/>
                <w:highlight w:val="none"/>
              </w:rPr>
            </w:r>
            <w:r/>
          </w:p>
        </w:tc>
        <w:tc>
          <w:tcPr>
            <w:tcW w:w="2153" w:type="dxa"/>
            <w:vAlign w:val="center"/>
            <w:textDirection w:val="lrTb"/>
            <w:noWrap w:val="false"/>
          </w:tcPr>
          <w:p>
            <w:pPr>
              <w:ind w:left="-38"/>
              <w:spacing w:line="240" w:lineRule="auto"/>
              <w:rPr>
                <w:color w:val="000000"/>
                <w:sz w:val="21"/>
                <w:szCs w:val="21"/>
                <w:highlight w:val="none"/>
              </w:rPr>
            </w:pPr>
            <w:r>
              <w:rPr>
                <w:color w:val="000000"/>
                <w:sz w:val="21"/>
                <w:szCs w:val="21"/>
                <w:highlight w:val="none"/>
              </w:rPr>
            </w:r>
            <w:r/>
          </w:p>
        </w:tc>
      </w:tr>
      <w:tr>
        <w:trPr>
          <w:trHeight w:val="1334"/>
        </w:trPr>
        <w:tc>
          <w:tcPr>
            <w:tcW w:w="624" w:type="dxa"/>
            <w:vAlign w:val="center"/>
            <w:textDirection w:val="lrTb"/>
            <w:noWrap w:val="false"/>
          </w:tcPr>
          <w:p>
            <w:pPr>
              <w:ind w:firstLine="28"/>
              <w:jc w:val="center"/>
              <w:spacing w:line="240" w:lineRule="auto"/>
              <w:rPr>
                <w:color w:val="000000"/>
                <w:sz w:val="21"/>
                <w:szCs w:val="21"/>
                <w:highlight w:val="none"/>
                <w:lang w:val="en-US" w:eastAsia="zh-CN"/>
              </w:rPr>
            </w:pPr>
            <w:r>
              <w:rPr>
                <w:rFonts w:hint="eastAsia"/>
                <w:color w:val="000000"/>
                <w:sz w:val="21"/>
                <w:szCs w:val="21"/>
                <w:highlight w:val="none"/>
                <w:lang w:val="en-US" w:eastAsia="zh-CN"/>
              </w:rPr>
              <w:t xml:space="preserve">3.1</w:t>
            </w:r>
            <w:r/>
          </w:p>
        </w:tc>
        <w:tc>
          <w:tcPr>
            <w:tcW w:w="1304" w:type="dxa"/>
            <w:vAlign w:val="center"/>
            <w:textDirection w:val="lrTb"/>
            <w:noWrap w:val="false"/>
          </w:tcPr>
          <w:p>
            <w:pPr>
              <w:ind w:firstLine="28"/>
              <w:jc w:val="center"/>
              <w:spacing w:line="24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类似业绩</w:t>
            </w:r>
            <w:r/>
          </w:p>
        </w:tc>
        <w:tc>
          <w:tcPr>
            <w:tcW w:w="680" w:type="dxa"/>
            <w:vAlign w:val="center"/>
            <w:textDirection w:val="lrTb"/>
            <w:noWrap w:val="false"/>
          </w:tcPr>
          <w:p>
            <w:pPr>
              <w:ind w:firstLine="28"/>
              <w:jc w:val="center"/>
              <w:spacing w:line="240" w:lineRule="auto"/>
              <w:rPr>
                <w:color w:val="000000"/>
                <w:sz w:val="21"/>
                <w:szCs w:val="21"/>
                <w:highlight w:val="none"/>
                <w:lang w:val="en-US" w:eastAsia="zh-CN"/>
              </w:rPr>
            </w:pPr>
            <w:r>
              <w:rPr>
                <w:rFonts w:hint="eastAsia"/>
                <w:color w:val="000000"/>
                <w:sz w:val="21"/>
                <w:szCs w:val="21"/>
                <w:highlight w:val="none"/>
                <w:lang w:val="en-US" w:eastAsia="zh-CN"/>
              </w:rPr>
              <w:t xml:space="preserve">9</w:t>
            </w:r>
            <w:r/>
          </w:p>
        </w:tc>
        <w:tc>
          <w:tcPr>
            <w:tcW w:w="4592" w:type="dxa"/>
            <w:vAlign w:val="center"/>
            <w:textDirection w:val="lrTb"/>
            <w:noWrap w:val="false"/>
          </w:tcPr>
          <w:p>
            <w:pPr>
              <w:spacing w:line="240" w:lineRule="auto"/>
              <w:rPr>
                <w:rFonts w:hint="eastAsia" w:ascii="宋体" w:hAnsi="宋体" w:eastAsia="宋体" w:cs="宋体"/>
                <w:b/>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供应商自2022年1月1日以来</w:t>
            </w:r>
            <w:r>
              <w:rPr>
                <w:rFonts w:hint="eastAsia" w:ascii="宋体" w:hAnsi="宋体" w:cs="宋体"/>
                <w:color w:val="000000"/>
                <w:sz w:val="21"/>
                <w:szCs w:val="21"/>
                <w:highlight w:val="none"/>
              </w:rPr>
              <w:t xml:space="preserve">承担过</w:t>
            </w:r>
            <w:r>
              <w:rPr>
                <w:rFonts w:hint="eastAsia" w:ascii="宋体" w:hAnsi="宋体" w:cs="宋体"/>
                <w:b/>
                <w:color w:val="000000"/>
                <w:sz w:val="21"/>
                <w:szCs w:val="21"/>
                <w:highlight w:val="none"/>
              </w:rPr>
              <w:t xml:space="preserve">已完成</w:t>
            </w:r>
            <w:r>
              <w:rPr>
                <w:rFonts w:hint="eastAsia" w:ascii="宋体" w:hAnsi="宋体" w:cs="宋体"/>
                <w:b/>
                <w:color w:val="000000"/>
                <w:sz w:val="21"/>
                <w:szCs w:val="21"/>
                <w:highlight w:val="none"/>
                <w:lang w:val="en-US" w:eastAsia="zh-CN"/>
              </w:rPr>
              <w:t xml:space="preserve">的</w:t>
            </w:r>
            <w:r>
              <w:rPr>
                <w:rFonts w:hint="eastAsia" w:ascii="宋体" w:hAnsi="宋体" w:cs="宋体"/>
                <w:b/>
                <w:color w:val="000000"/>
                <w:sz w:val="21"/>
                <w:szCs w:val="21"/>
                <w:highlight w:val="none"/>
              </w:rPr>
              <w:t xml:space="preserve">或正在实施的</w:t>
            </w:r>
            <w:r>
              <w:rPr>
                <w:rFonts w:hint="eastAsia" w:ascii="宋体" w:hAnsi="宋体" w:cs="宋体"/>
                <w:color w:val="000000"/>
                <w:sz w:val="21"/>
                <w:szCs w:val="21"/>
                <w:highlight w:val="none"/>
              </w:rPr>
              <w:t xml:space="preserve">绿化养护管理或绿化工程建设业绩的，有1个得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分，本项最</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p>
        </w:tc>
        <w:tc>
          <w:tcPr>
            <w:tcW w:w="2153" w:type="dxa"/>
            <w:vAlign w:val="center"/>
            <w:textDirection w:val="lrTb"/>
            <w:noWrap w:val="false"/>
          </w:tcPr>
          <w:p>
            <w:pPr>
              <w:spacing w:line="240" w:lineRule="auto"/>
              <w:rPr>
                <w:rFonts w:hint="eastAsia" w:eastAsia="宋体"/>
                <w:b/>
                <w:bCs w:val="0"/>
                <w:color w:val="000000"/>
                <w:sz w:val="21"/>
                <w:szCs w:val="21"/>
                <w:highlight w:val="none"/>
                <w:lang w:eastAsia="zh-CN"/>
              </w:rPr>
            </w:pPr>
            <w:r>
              <w:rPr>
                <w:rFonts w:hint="eastAsia" w:ascii="宋体" w:hAnsi="宋体" w:eastAsia="宋体" w:cs="宋体"/>
                <w:b/>
                <w:bCs w:val="0"/>
                <w:color w:val="000000"/>
                <w:sz w:val="21"/>
                <w:szCs w:val="21"/>
                <w:highlight w:val="none"/>
              </w:rPr>
              <w:t xml:space="preserve">提供合同</w:t>
            </w:r>
            <w:r>
              <w:rPr>
                <w:rFonts w:hint="eastAsia" w:ascii="宋体" w:hAnsi="宋体" w:eastAsia="宋体" w:cs="宋体"/>
                <w:b/>
                <w:bCs w:val="0"/>
                <w:color w:val="000000"/>
                <w:sz w:val="21"/>
                <w:szCs w:val="21"/>
                <w:highlight w:val="none"/>
                <w:lang w:val="en-US" w:eastAsia="zh-CN"/>
              </w:rPr>
              <w:t xml:space="preserve">扫描件</w:t>
            </w:r>
            <w:r>
              <w:rPr>
                <w:rFonts w:hint="eastAsia" w:ascii="宋体" w:hAnsi="宋体" w:eastAsia="宋体" w:cs="宋体"/>
                <w:b/>
                <w:bCs w:val="0"/>
                <w:color w:val="000000"/>
                <w:sz w:val="21"/>
                <w:szCs w:val="21"/>
                <w:highlight w:val="none"/>
              </w:rPr>
              <w:t xml:space="preserve">（时间以合同签订时间为准）</w:t>
            </w:r>
            <w:r>
              <w:rPr>
                <w:rFonts w:hint="eastAsia" w:ascii="宋体" w:hAnsi="宋体" w:eastAsia="宋体" w:cs="宋体"/>
                <w:b/>
                <w:bCs w:val="0"/>
                <w:color w:val="000000"/>
                <w:sz w:val="21"/>
                <w:szCs w:val="21"/>
                <w:highlight w:val="none"/>
                <w:lang w:val="en-US" w:eastAsia="zh-CN"/>
              </w:rPr>
              <w:t xml:space="preserve">上传</w:t>
            </w:r>
            <w:r>
              <w:rPr>
                <w:rFonts w:hint="eastAsia" w:ascii="宋体" w:hAnsi="宋体" w:eastAsia="宋体" w:cs="宋体"/>
                <w:b/>
                <w:bCs w:val="0"/>
                <w:color w:val="000000"/>
                <w:sz w:val="21"/>
                <w:szCs w:val="21"/>
                <w:highlight w:val="none"/>
              </w:rPr>
              <w:t xml:space="preserve">，未提供不得分</w:t>
            </w:r>
            <w:r>
              <w:rPr>
                <w:rFonts w:hint="eastAsia" w:ascii="宋体" w:hAnsi="宋体" w:eastAsia="宋体" w:cs="宋体"/>
                <w:b/>
                <w:bCs w:val="0"/>
                <w:color w:val="000000"/>
                <w:sz w:val="21"/>
                <w:szCs w:val="21"/>
                <w:highlight w:val="none"/>
                <w:lang w:eastAsia="zh-CN"/>
              </w:rPr>
              <w:t xml:space="preserve">。</w:t>
            </w:r>
            <w:r/>
          </w:p>
        </w:tc>
      </w:tr>
      <w:tr>
        <w:trPr>
          <w:trHeight w:val="470"/>
        </w:trPr>
        <w:tc>
          <w:tcPr>
            <w:tcW w:w="624" w:type="dxa"/>
            <w:vAlign w:val="center"/>
            <w:textDirection w:val="lrTb"/>
            <w:noWrap w:val="false"/>
          </w:tcPr>
          <w:p>
            <w:pPr>
              <w:ind w:firstLine="28"/>
              <w:jc w:val="center"/>
              <w:spacing w:line="240" w:lineRule="auto"/>
              <w:rPr>
                <w:rFonts w:hint="eastAsia"/>
                <w:color w:val="000000"/>
                <w:sz w:val="21"/>
                <w:szCs w:val="21"/>
                <w:highlight w:val="none"/>
                <w:lang w:val="en-US" w:eastAsia="zh-CN"/>
              </w:rPr>
            </w:pPr>
            <w:r>
              <w:rPr>
                <w:rFonts w:hint="eastAsia"/>
                <w:color w:val="000000"/>
                <w:sz w:val="21"/>
                <w:szCs w:val="21"/>
                <w:highlight w:val="none"/>
                <w:lang w:val="en-US" w:eastAsia="zh-CN"/>
              </w:rPr>
              <w:t xml:space="preserve">3.2</w:t>
            </w:r>
            <w:r/>
          </w:p>
        </w:tc>
        <w:tc>
          <w:tcPr>
            <w:tcW w:w="1304" w:type="dxa"/>
            <w:vAlign w:val="center"/>
            <w:textDirection w:val="lrTb"/>
            <w:noWrap w:val="false"/>
          </w:tcPr>
          <w:p>
            <w:pPr>
              <w:ind w:firstLine="28"/>
              <w:jc w:val="center"/>
              <w:spacing w:line="240" w:lineRule="auto"/>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en-US" w:eastAsia="zh-CN"/>
              </w:rPr>
              <w:t xml:space="preserve">人员配备</w:t>
            </w:r>
            <w:r/>
          </w:p>
        </w:tc>
        <w:tc>
          <w:tcPr>
            <w:tcW w:w="680" w:type="dxa"/>
            <w:vAlign w:val="center"/>
            <w:textDirection w:val="lrTb"/>
            <w:noWrap w:val="false"/>
          </w:tcPr>
          <w:p>
            <w:pPr>
              <w:ind w:firstLine="28"/>
              <w:jc w:val="center"/>
              <w:spacing w:line="240" w:lineRule="auto"/>
              <w:rPr>
                <w:rFonts w:hint="eastAsia"/>
                <w:color w:val="000000"/>
                <w:sz w:val="21"/>
                <w:szCs w:val="21"/>
                <w:highlight w:val="none"/>
                <w:lang w:val="en-US" w:eastAsia="zh-CN"/>
              </w:rPr>
            </w:pPr>
            <w:r>
              <w:rPr>
                <w:rFonts w:hint="eastAsia"/>
                <w:color w:val="000000"/>
                <w:sz w:val="21"/>
                <w:szCs w:val="21"/>
                <w:highlight w:val="none"/>
                <w:lang w:val="en-US" w:eastAsia="zh-CN"/>
              </w:rPr>
              <w:t xml:space="preserve">3</w:t>
            </w:r>
            <w:r/>
          </w:p>
        </w:tc>
        <w:tc>
          <w:tcPr>
            <w:tcW w:w="4592" w:type="dxa"/>
            <w:vAlign w:val="center"/>
            <w:textDirection w:val="lrTb"/>
            <w:noWrap w:val="false"/>
          </w:tcPr>
          <w:p>
            <w:pPr>
              <w:pStyle w:val="987"/>
              <w:ind w:left="0"/>
              <w:spacing w:line="240" w:lineRule="auto"/>
              <w:rPr>
                <w:rFonts w:hint="eastAsia" w:ascii="宋体" w:hAnsi="宋体" w:cs="宋体"/>
                <w:color w:val="000000"/>
                <w:sz w:val="21"/>
                <w:szCs w:val="21"/>
                <w:highlight w:val="none"/>
              </w:rPr>
            </w:pPr>
            <w:r>
              <w:rPr>
                <w:rFonts w:hint="eastAsia" w:ascii="宋体" w:hAnsi="宋体" w:eastAsia="宋体" w:cs="宋体"/>
                <w:color w:val="000000"/>
                <w:spacing w:val="-7"/>
                <w:sz w:val="21"/>
                <w:szCs w:val="21"/>
                <w:highlight w:val="none"/>
                <w:lang w:val="en-US" w:eastAsia="zh-CN"/>
              </w:rPr>
              <w:t xml:space="preserve">为本项目配备安全管理人员的得3分。</w:t>
            </w:r>
            <w:r/>
          </w:p>
        </w:tc>
        <w:tc>
          <w:tcPr>
            <w:tcW w:w="2153" w:type="dxa"/>
            <w:vAlign w:val="center"/>
            <w:textDirection w:val="lrTb"/>
            <w:noWrap w:val="false"/>
          </w:tcPr>
          <w:p>
            <w:pPr>
              <w:spacing w:line="240" w:lineRule="auto"/>
              <w:rPr>
                <w:rFonts w:eastAsia="宋体"/>
                <w:b/>
                <w:bCs w:val="0"/>
                <w:color w:val="000000"/>
                <w:sz w:val="21"/>
                <w:szCs w:val="21"/>
                <w:highlight w:val="none"/>
                <w:lang w:val="en-US" w:eastAsia="zh-CN"/>
              </w:rPr>
            </w:pPr>
            <w:r>
              <w:rPr>
                <w:rFonts w:hint="eastAsia" w:ascii="宋体" w:hAnsi="宋体" w:eastAsia="宋体" w:cs="宋体"/>
                <w:b/>
                <w:bCs w:val="0"/>
                <w:color w:val="000000"/>
                <w:spacing w:val="-7"/>
                <w:sz w:val="21"/>
                <w:szCs w:val="21"/>
                <w:highlight w:val="none"/>
                <w:lang w:val="en-US" w:eastAsia="zh-CN"/>
              </w:rPr>
              <w:t xml:space="preserve">提供安全员资格证书或安全生产培训合格证明材料，同时须提供人员最近3个月任意一个月的社保电子扫描件上传，</w:t>
            </w:r>
            <w:r>
              <w:rPr>
                <w:rFonts w:hint="eastAsia" w:ascii="宋体" w:hAnsi="宋体" w:eastAsia="宋体" w:cs="宋体"/>
                <w:b/>
                <w:bCs w:val="0"/>
                <w:color w:val="000000"/>
                <w:sz w:val="21"/>
                <w:szCs w:val="21"/>
                <w:highlight w:val="none"/>
              </w:rPr>
              <w:t xml:space="preserve">未提供不得分</w:t>
            </w:r>
            <w:r>
              <w:rPr>
                <w:rFonts w:hint="eastAsia" w:ascii="宋体" w:hAnsi="宋体" w:eastAsia="宋体" w:cs="宋体"/>
                <w:b/>
                <w:bCs w:val="0"/>
                <w:color w:val="000000"/>
                <w:sz w:val="21"/>
                <w:szCs w:val="21"/>
                <w:highlight w:val="none"/>
                <w:lang w:eastAsia="zh-CN"/>
              </w:rPr>
              <w:t xml:space="preserve">。</w:t>
            </w:r>
            <w:r/>
          </w:p>
        </w:tc>
      </w:tr>
      <w:tr>
        <w:trPr>
          <w:trHeight w:val="470"/>
        </w:trPr>
        <w:tc>
          <w:tcPr>
            <w:tcW w:w="624" w:type="dxa"/>
            <w:vAlign w:val="center"/>
            <w:textDirection w:val="lrTb"/>
            <w:noWrap w:val="false"/>
          </w:tcPr>
          <w:p>
            <w:pPr>
              <w:ind w:firstLine="28"/>
              <w:jc w:val="center"/>
              <w:spacing w:line="240" w:lineRule="auto"/>
              <w:rPr>
                <w:rFonts w:hint="eastAsia"/>
                <w:color w:val="000000"/>
                <w:sz w:val="21"/>
                <w:szCs w:val="21"/>
                <w:highlight w:val="none"/>
                <w:lang w:val="en-US" w:eastAsia="zh-CN"/>
              </w:rPr>
            </w:pPr>
            <w:r>
              <w:rPr>
                <w:rFonts w:hint="eastAsia"/>
                <w:color w:val="000000"/>
                <w:sz w:val="21"/>
                <w:szCs w:val="21"/>
                <w:highlight w:val="none"/>
                <w:lang w:val="en-US" w:eastAsia="zh-CN"/>
              </w:rPr>
              <w:t xml:space="preserve">3.3</w:t>
            </w:r>
            <w:r/>
          </w:p>
        </w:tc>
        <w:tc>
          <w:tcPr>
            <w:tcW w:w="1304" w:type="dxa"/>
            <w:vAlign w:val="center"/>
            <w:textDirection w:val="lrTb"/>
            <w:noWrap w:val="false"/>
          </w:tcPr>
          <w:p>
            <w:pPr>
              <w:ind w:firstLine="28"/>
              <w:jc w:val="center"/>
              <w:spacing w:line="240" w:lineRule="auto"/>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自有机具配备</w:t>
            </w:r>
            <w:r/>
          </w:p>
        </w:tc>
        <w:tc>
          <w:tcPr>
            <w:tcW w:w="680" w:type="dxa"/>
            <w:vAlign w:val="center"/>
            <w:textDirection w:val="lrTb"/>
            <w:noWrap w:val="false"/>
          </w:tcPr>
          <w:p>
            <w:pPr>
              <w:ind w:firstLine="28"/>
              <w:jc w:val="center"/>
              <w:spacing w:line="240" w:lineRule="auto"/>
              <w:rPr>
                <w:rFonts w:hint="eastAsia"/>
                <w:color w:val="000000"/>
                <w:sz w:val="21"/>
                <w:szCs w:val="21"/>
                <w:highlight w:val="none"/>
                <w:lang w:val="en-US" w:eastAsia="zh-CN"/>
              </w:rPr>
            </w:pPr>
            <w:r>
              <w:rPr>
                <w:rFonts w:hint="eastAsia"/>
                <w:color w:val="000000"/>
                <w:sz w:val="21"/>
                <w:szCs w:val="21"/>
                <w:highlight w:val="none"/>
                <w:lang w:val="en-US" w:eastAsia="zh-CN"/>
              </w:rPr>
              <w:t xml:space="preserve">8</w:t>
            </w:r>
            <w:r/>
          </w:p>
        </w:tc>
        <w:tc>
          <w:tcPr>
            <w:tcW w:w="4592" w:type="dxa"/>
            <w:vAlign w:val="center"/>
            <w:textDirection w:val="lrTb"/>
            <w:noWrap w:val="false"/>
          </w:tcPr>
          <w:p>
            <w:pPr>
              <w:numPr>
                <w:ilvl w:val="0"/>
                <w:numId w:val="0"/>
              </w:numPr>
              <w:spacing w:line="240" w:lineRule="auto"/>
              <w:rPr>
                <w:rFonts w:hint="eastAsia" w:ascii="宋体" w:hAnsi="宋体" w:eastAsia="宋体" w:cs="宋体"/>
                <w:color w:val="000000"/>
                <w:spacing w:val="-4"/>
                <w:sz w:val="21"/>
                <w:szCs w:val="21"/>
                <w:highlight w:val="none"/>
                <w:lang w:val="en-US" w:eastAsia="zh-CN" w:bidi="ar-SA"/>
              </w:rPr>
            </w:pPr>
            <w:r>
              <w:rPr>
                <w:rFonts w:hint="eastAsia" w:ascii="宋体" w:hAnsi="宋体" w:eastAsia="宋体" w:cs="宋体"/>
                <w:color w:val="000000"/>
                <w:spacing w:val="-4"/>
                <w:sz w:val="21"/>
                <w:szCs w:val="21"/>
                <w:highlight w:val="none"/>
                <w:lang w:val="en-US" w:eastAsia="zh-CN" w:bidi="ar-SA"/>
              </w:rPr>
              <w:t xml:space="preserve">1、供应商满足（绿篱机、草坪机、割灌机各不少于5台、吹风机不少于2台、油锯不少于2台、水泵不少于3台；药水车或打药机不少于2台；3吨及以上洒水车不少于1辆）得4分；（缺一不得分）</w:t>
            </w:r>
            <w:r/>
          </w:p>
          <w:p>
            <w:pPr>
              <w:numPr>
                <w:ilvl w:val="0"/>
                <w:numId w:val="0"/>
              </w:numPr>
              <w:spacing w:line="240" w:lineRule="auto"/>
              <w:rPr>
                <w:rFonts w:hint="eastAsia" w:ascii="宋体" w:hAnsi="宋体" w:eastAsia="宋体" w:cs="宋体"/>
                <w:color w:val="000000"/>
                <w:spacing w:val="-4"/>
                <w:sz w:val="21"/>
                <w:szCs w:val="21"/>
                <w:highlight w:val="none"/>
                <w:lang w:val="en-US" w:eastAsia="zh-CN" w:bidi="ar-SA"/>
              </w:rPr>
            </w:pPr>
            <w:r>
              <w:rPr>
                <w:rFonts w:hint="eastAsia" w:ascii="宋体" w:hAnsi="宋体" w:eastAsia="宋体" w:cs="宋体"/>
                <w:color w:val="000000"/>
                <w:spacing w:val="-4"/>
                <w:sz w:val="21"/>
                <w:szCs w:val="21"/>
                <w:highlight w:val="none"/>
                <w:lang w:val="en-US" w:eastAsia="zh-CN" w:bidi="ar-SA"/>
              </w:rPr>
              <w:t xml:space="preserve">2、供应商自有垃圾运输车（≥3吨）的得2分；</w:t>
            </w:r>
            <w:r/>
          </w:p>
          <w:p>
            <w:pPr>
              <w:numPr>
                <w:ilvl w:val="0"/>
                <w:numId w:val="0"/>
              </w:numPr>
              <w:spacing w:line="240" w:lineRule="auto"/>
              <w:rPr>
                <w:rFonts w:hint="eastAsia" w:ascii="宋体" w:hAnsi="宋体" w:eastAsia="宋体" w:cs="宋体"/>
                <w:color w:val="000000"/>
                <w:spacing w:val="-4"/>
                <w:sz w:val="21"/>
                <w:szCs w:val="21"/>
                <w:highlight w:val="none"/>
                <w:lang w:val="en-US" w:eastAsia="zh-CN" w:bidi="ar-SA"/>
              </w:rPr>
            </w:pPr>
            <w:r>
              <w:rPr>
                <w:rFonts w:hint="eastAsia" w:ascii="宋体" w:hAnsi="宋体" w:eastAsia="宋体" w:cs="宋体"/>
                <w:color w:val="000000"/>
                <w:spacing w:val="-4"/>
                <w:sz w:val="21"/>
                <w:szCs w:val="21"/>
                <w:highlight w:val="none"/>
                <w:lang w:val="en-US" w:eastAsia="zh-CN" w:bidi="ar-SA"/>
              </w:rPr>
              <w:t xml:space="preserve">3、供应商自有梳草机的得1分。</w:t>
            </w:r>
            <w:r/>
          </w:p>
          <w:p>
            <w:pPr>
              <w:numPr>
                <w:ilvl w:val="0"/>
                <w:numId w:val="0"/>
              </w:numPr>
              <w:spacing w:line="240" w:lineRule="auto"/>
              <w:rPr>
                <w:rFonts w:hint="eastAsia" w:ascii="宋体" w:hAnsi="宋体" w:cs="宋体"/>
                <w:color w:val="000000"/>
                <w:sz w:val="21"/>
                <w:szCs w:val="21"/>
                <w:highlight w:val="none"/>
              </w:rPr>
            </w:pPr>
            <w:r>
              <w:rPr>
                <w:rFonts w:hint="eastAsia" w:ascii="宋体" w:hAnsi="宋体" w:eastAsia="宋体" w:cs="宋体"/>
                <w:color w:val="000000"/>
                <w:spacing w:val="-4"/>
                <w:sz w:val="21"/>
                <w:szCs w:val="21"/>
                <w:highlight w:val="none"/>
                <w:lang w:val="en-US" w:eastAsia="zh-CN" w:bidi="ar-SA"/>
              </w:rPr>
              <w:t xml:space="preserve">4、供应商自有打孔机的得1分。</w:t>
            </w:r>
            <w:r/>
          </w:p>
        </w:tc>
        <w:tc>
          <w:tcPr>
            <w:tcW w:w="2153" w:type="dxa"/>
            <w:vAlign w:val="center"/>
            <w:textDirection w:val="lrTb"/>
            <w:noWrap w:val="false"/>
          </w:tcPr>
          <w:p>
            <w:pPr>
              <w:spacing w:line="240" w:lineRule="auto"/>
              <w:rPr>
                <w:b/>
                <w:bCs w:val="0"/>
                <w:color w:val="000000"/>
                <w:sz w:val="21"/>
                <w:szCs w:val="21"/>
                <w:highlight w:val="none"/>
              </w:rPr>
            </w:pPr>
            <w:r>
              <w:rPr>
                <w:rFonts w:hint="eastAsia" w:ascii="宋体" w:hAnsi="宋体" w:cs="宋体"/>
                <w:b/>
                <w:bCs w:val="0"/>
                <w:color w:val="000000"/>
                <w:sz w:val="21"/>
                <w:szCs w:val="21"/>
                <w:highlight w:val="none"/>
              </w:rPr>
              <w:t xml:space="preserve">须提供机具购买发票及车辆权属登记证、行驶证</w:t>
            </w:r>
            <w:r>
              <w:rPr>
                <w:rFonts w:hint="eastAsia" w:ascii="宋体" w:hAnsi="宋体" w:cs="宋体"/>
                <w:b/>
                <w:bCs w:val="0"/>
                <w:color w:val="000000"/>
                <w:sz w:val="21"/>
                <w:szCs w:val="21"/>
                <w:highlight w:val="none"/>
                <w:lang w:val="en-US" w:eastAsia="zh-CN"/>
              </w:rPr>
              <w:t xml:space="preserve">扫描件上传系统</w:t>
            </w:r>
            <w:r>
              <w:rPr>
                <w:rFonts w:hint="eastAsia" w:ascii="宋体" w:hAnsi="宋体" w:cs="宋体"/>
                <w:b/>
                <w:bCs w:val="0"/>
                <w:color w:val="000000"/>
                <w:sz w:val="21"/>
                <w:szCs w:val="21"/>
                <w:highlight w:val="none"/>
              </w:rPr>
              <w:t xml:space="preserve">，不提供不得分。</w:t>
            </w:r>
            <w:r/>
          </w:p>
        </w:tc>
      </w:tr>
      <w:tr>
        <w:trPr>
          <w:trHeight w:val="489"/>
        </w:trPr>
        <w:tc>
          <w:tcPr>
            <w:tcW w:w="624" w:type="dxa"/>
            <w:vAlign w:val="center"/>
            <w:textDirection w:val="lrTb"/>
            <w:noWrap w:val="false"/>
          </w:tcPr>
          <w:p>
            <w:pPr>
              <w:ind w:firstLine="28"/>
              <w:jc w:val="center"/>
              <w:spacing w:line="240" w:lineRule="auto"/>
              <w:rPr>
                <w:rFonts w:hint="eastAsia"/>
                <w:color w:val="000000"/>
                <w:sz w:val="21"/>
                <w:szCs w:val="21"/>
                <w:highlight w:val="none"/>
                <w:lang w:val="en-US" w:eastAsia="zh-CN"/>
              </w:rPr>
            </w:pPr>
            <w:r>
              <w:rPr>
                <w:rFonts w:hint="eastAsia"/>
                <w:color w:val="000000"/>
                <w:sz w:val="21"/>
                <w:szCs w:val="21"/>
                <w:highlight w:val="none"/>
                <w:lang w:val="en-US" w:eastAsia="zh-CN"/>
              </w:rPr>
            </w:r>
            <w:r/>
          </w:p>
        </w:tc>
        <w:tc>
          <w:tcPr>
            <w:tcW w:w="1304" w:type="dxa"/>
            <w:vAlign w:val="center"/>
            <w:textDirection w:val="lrTb"/>
            <w:noWrap w:val="false"/>
          </w:tcPr>
          <w:p>
            <w:pPr>
              <w:ind w:firstLine="28"/>
              <w:jc w:val="center"/>
              <w:spacing w:line="24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总分值</w:t>
            </w:r>
            <w:r/>
          </w:p>
        </w:tc>
        <w:tc>
          <w:tcPr>
            <w:tcW w:w="680" w:type="dxa"/>
            <w:vAlign w:val="center"/>
            <w:textDirection w:val="lrTb"/>
            <w:noWrap w:val="false"/>
          </w:tcPr>
          <w:p>
            <w:pPr>
              <w:ind w:firstLine="28"/>
              <w:jc w:val="center"/>
              <w:spacing w:line="240" w:lineRule="auto"/>
              <w:rPr>
                <w:rFonts w:hint="eastAsia"/>
                <w:color w:val="000000"/>
                <w:sz w:val="21"/>
                <w:szCs w:val="21"/>
                <w:highlight w:val="none"/>
                <w:lang w:val="en-US" w:eastAsia="zh-CN"/>
              </w:rPr>
            </w:pPr>
            <w:r>
              <w:rPr>
                <w:rFonts w:hint="eastAsia"/>
                <w:color w:val="000000"/>
                <w:sz w:val="21"/>
                <w:szCs w:val="21"/>
                <w:highlight w:val="none"/>
                <w:lang w:val="en-US" w:eastAsia="zh-CN"/>
              </w:rPr>
              <w:t xml:space="preserve">100</w:t>
            </w:r>
            <w:r/>
          </w:p>
        </w:tc>
        <w:tc>
          <w:tcPr>
            <w:tcW w:w="4592" w:type="dxa"/>
            <w:vAlign w:val="center"/>
            <w:textDirection w:val="lrTb"/>
            <w:noWrap w:val="false"/>
          </w:tcPr>
          <w:p>
            <w:pPr>
              <w:spacing w:line="240" w:lineRule="auto"/>
              <w:rPr>
                <w:color w:val="000000"/>
                <w:sz w:val="21"/>
                <w:szCs w:val="21"/>
                <w:highlight w:val="none"/>
              </w:rPr>
            </w:pPr>
            <w:r>
              <w:rPr>
                <w:color w:val="000000"/>
                <w:sz w:val="21"/>
                <w:szCs w:val="21"/>
                <w:highlight w:val="none"/>
              </w:rPr>
            </w:r>
            <w:r/>
          </w:p>
        </w:tc>
        <w:tc>
          <w:tcPr>
            <w:tcW w:w="2153" w:type="dxa"/>
            <w:vAlign w:val="center"/>
            <w:textDirection w:val="lrTb"/>
            <w:noWrap w:val="false"/>
          </w:tcPr>
          <w:p>
            <w:pPr>
              <w:spacing w:line="240" w:lineRule="auto"/>
              <w:rPr>
                <w:color w:val="000000"/>
                <w:sz w:val="21"/>
                <w:szCs w:val="21"/>
                <w:highlight w:val="none"/>
              </w:rPr>
            </w:pPr>
            <w:r>
              <w:rPr>
                <w:color w:val="000000"/>
                <w:sz w:val="21"/>
                <w:szCs w:val="21"/>
                <w:highlight w:val="none"/>
              </w:rPr>
            </w:r>
            <w:r/>
          </w:p>
        </w:tc>
      </w:tr>
    </w:tbl>
    <w:p>
      <w:pPr>
        <w:ind w:firstLine="420"/>
        <w:spacing w:line="400" w:lineRule="exact"/>
        <w:widowControl w:val="off"/>
        <w:rPr>
          <w:rFonts w:ascii="Times New Roman" w:hAnsi="Times New Roman"/>
          <w:bCs/>
          <w:color w:val="000000"/>
          <w:szCs w:val="21"/>
          <w:highlight w:val="none"/>
        </w:rPr>
      </w:pPr>
      <w:r>
        <w:rPr>
          <w:rFonts w:hint="eastAsia" w:ascii="Times New Roman" w:hAnsi="Times New Roman"/>
          <w:bCs/>
          <w:color w:val="000000"/>
          <w:szCs w:val="21"/>
          <w:highlight w:val="none"/>
        </w:rPr>
        <w:t xml:space="preserve">注：</w:t>
      </w:r>
      <w:r/>
    </w:p>
    <w:p>
      <w:pPr>
        <w:ind w:firstLine="420"/>
        <w:spacing w:line="400" w:lineRule="exact"/>
        <w:widowControl w:val="off"/>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1</w:t>
      </w:r>
      <w:r>
        <w:rPr>
          <w:rFonts w:hint="eastAsia" w:ascii="Times New Roman" w:hAnsi="Times New Roman"/>
          <w:color w:val="000000"/>
          <w:szCs w:val="21"/>
          <w:highlight w:val="none"/>
        </w:rPr>
        <w:t xml:space="preserve">.评分</w:t>
      </w:r>
      <w:r>
        <w:rPr>
          <w:rFonts w:ascii="Times New Roman" w:hAnsi="Times New Roman"/>
          <w:color w:val="000000"/>
          <w:szCs w:val="21"/>
          <w:highlight w:val="none"/>
        </w:rPr>
        <w:t xml:space="preserve">细则中要求</w:t>
      </w:r>
      <w:r>
        <w:rPr>
          <w:rFonts w:hint="eastAsia" w:ascii="Times New Roman" w:hAnsi="Times New Roman"/>
          <w:color w:val="000000"/>
          <w:szCs w:val="21"/>
          <w:highlight w:val="none"/>
        </w:rPr>
        <w:t xml:space="preserve">提供</w:t>
      </w:r>
      <w:r>
        <w:rPr>
          <w:rFonts w:ascii="Times New Roman" w:hAnsi="Times New Roman"/>
          <w:color w:val="000000"/>
          <w:szCs w:val="21"/>
          <w:highlight w:val="none"/>
        </w:rPr>
        <w:t xml:space="preserve">的有关证书、检测报告等证明文件均需</w:t>
      </w:r>
      <w:r>
        <w:rPr>
          <w:rFonts w:hint="eastAsia" w:ascii="Times New Roman" w:hAnsi="Times New Roman"/>
          <w:color w:val="000000"/>
          <w:szCs w:val="21"/>
          <w:highlight w:val="none"/>
        </w:rPr>
        <w:t xml:space="preserve">在</w:t>
      </w:r>
      <w:r>
        <w:rPr>
          <w:rFonts w:ascii="Times New Roman" w:hAnsi="Times New Roman"/>
          <w:color w:val="000000"/>
          <w:szCs w:val="21"/>
          <w:highlight w:val="none"/>
        </w:rPr>
        <w:t xml:space="preserve">有效期内，否则不予得分。</w:t>
      </w:r>
      <w:r/>
    </w:p>
    <w:p>
      <w:pPr>
        <w:ind w:firstLine="420"/>
        <w:spacing w:line="400" w:lineRule="exact"/>
        <w:widowControl w:val="off"/>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2</w:t>
      </w: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投标人</w:t>
      </w:r>
      <w:r>
        <w:rPr>
          <w:rFonts w:ascii="Times New Roman" w:hAnsi="Times New Roman"/>
          <w:color w:val="000000"/>
          <w:szCs w:val="21"/>
          <w:highlight w:val="none"/>
        </w:rPr>
        <w:t xml:space="preserve">按评分细则所有得分项目均视为对本次招标的承诺，中标后均作为合同的组成部分。</w:t>
      </w:r>
      <w:r/>
    </w:p>
    <w:p>
      <w:pPr>
        <w:ind w:firstLine="420"/>
        <w:spacing w:line="400" w:lineRule="exact"/>
        <w:widowControl w:val="off"/>
        <w:rPr>
          <w:rFonts w:hint="eastAsia"/>
          <w:b/>
          <w:color w:val="000000"/>
          <w:sz w:val="36"/>
          <w:szCs w:val="36"/>
          <w:highlight w:val="none"/>
          <w:lang w:eastAsia="zh-CN"/>
        </w:rPr>
      </w:pPr>
      <w:r>
        <w:rPr>
          <w:rFonts w:hint="eastAsia" w:ascii="Times New Roman" w:hAnsi="Times New Roman" w:eastAsia="宋体" w:cs="Times New Roman"/>
          <w:color w:val="000000"/>
          <w:szCs w:val="21"/>
          <w:highlight w:val="none"/>
          <w:lang w:val="en-US" w:eastAsia="zh-CN"/>
        </w:rPr>
        <w:t xml:space="preserve">3.</w:t>
      </w:r>
      <w:r>
        <w:rPr>
          <w:rFonts w:hint="eastAsia" w:ascii="Times New Roman" w:hAnsi="Times New Roman" w:eastAsia="宋体" w:cs="Times New Roman"/>
          <w:color w:val="000000"/>
          <w:szCs w:val="21"/>
          <w:highlight w:val="none"/>
        </w:rPr>
        <w:t xml:space="preserve">上所需资料均应真实、有效，如发现投标人涉嫌资料造假等，采购人将有权取消其中标资格，并保留进一步追究其法律责任的权利。</w:t>
      </w:r>
      <w:r>
        <w:rPr>
          <w:rFonts w:hint="eastAsia"/>
          <w:b w:val="0"/>
          <w:color w:val="000000"/>
          <w:sz w:val="36"/>
          <w:szCs w:val="36"/>
          <w:highlight w:val="none"/>
          <w:lang w:eastAsia="zh-CN"/>
        </w:rPr>
        <w:tab/>
      </w:r>
      <w:r>
        <w:rPr>
          <w:rFonts w:hint="eastAsia"/>
          <w:b w:val="0"/>
          <w:color w:val="000000"/>
          <w:sz w:val="36"/>
          <w:szCs w:val="36"/>
          <w:highlight w:val="none"/>
          <w:lang w:eastAsia="zh-CN"/>
        </w:rPr>
        <w:tab/>
      </w:r>
      <w:r>
        <w:rPr>
          <w:rFonts w:hint="eastAsia"/>
          <w:b/>
          <w:color w:val="000000"/>
          <w:sz w:val="36"/>
          <w:szCs w:val="36"/>
          <w:highlight w:val="none"/>
          <w:lang w:eastAsia="zh-CN"/>
        </w:rPr>
        <w:tab/>
      </w:r>
      <w:r/>
    </w:p>
    <w:p>
      <w:pPr>
        <w:pStyle w:val="953"/>
        <w:numPr>
          <w:ilvl w:val="0"/>
          <w:numId w:val="0"/>
        </w:numPr>
        <w:jc w:val="center"/>
        <w:spacing w:before="0" w:line="360" w:lineRule="auto"/>
        <w:tabs>
          <w:tab w:val="left" w:pos="1905" w:leader="none"/>
          <w:tab w:val="center" w:pos="4595" w:leader="none"/>
        </w:tabs>
        <w:rPr>
          <w:color w:val="000000"/>
          <w:sz w:val="24"/>
          <w:szCs w:val="24"/>
          <w:highlight w:val="none"/>
        </w:rPr>
      </w:pPr>
      <w:r>
        <w:rPr>
          <w:rFonts w:hint="eastAsia" w:ascii="Times New Roman" w:hAnsi="Times New Roman" w:eastAsia="宋体" w:cs="Times New Roman"/>
          <w:b/>
          <w:color w:val="000000"/>
          <w:sz w:val="36"/>
          <w:szCs w:val="36"/>
          <w:highlight w:val="none"/>
          <w:lang w:val="en-US" w:eastAsia="zh-CN" w:bidi="ar-SA"/>
        </w:rPr>
        <w:br w:type="page" w:clear="all"/>
      </w:r>
      <w:r>
        <w:rPr>
          <w:rFonts w:hint="eastAsia" w:ascii="Times New Roman" w:hAnsi="Times New Roman" w:eastAsia="宋体" w:cs="Times New Roman"/>
          <w:b/>
          <w:color w:val="000000"/>
          <w:sz w:val="36"/>
          <w:szCs w:val="36"/>
          <w:highlight w:val="none"/>
          <w:lang w:val="en-US" w:eastAsia="zh-CN" w:bidi="ar-SA"/>
        </w:rPr>
        <w:t xml:space="preserve">第四章   采购需求</w:t>
      </w:r>
      <w:r/>
    </w:p>
    <w:p>
      <w:pPr>
        <w:rPr>
          <w:b/>
          <w:bCs/>
          <w:color w:val="000000"/>
          <w:sz w:val="24"/>
          <w:szCs w:val="28"/>
          <w:highlight w:val="none"/>
        </w:rPr>
      </w:pPr>
      <w:r>
        <w:rPr>
          <w:rFonts w:hint="eastAsia"/>
          <w:b/>
          <w:bCs/>
          <w:color w:val="000000"/>
          <w:sz w:val="24"/>
          <w:szCs w:val="28"/>
          <w:highlight w:val="none"/>
          <w:lang w:val="en-US" w:eastAsia="zh-CN"/>
        </w:rPr>
        <w:t xml:space="preserve">一</w:t>
      </w:r>
      <w:r>
        <w:rPr>
          <w:rFonts w:hint="eastAsia"/>
          <w:b/>
          <w:bCs/>
          <w:color w:val="000000"/>
          <w:sz w:val="24"/>
          <w:szCs w:val="28"/>
          <w:highlight w:val="none"/>
        </w:rPr>
        <w:t xml:space="preserve">、养护内容及要求：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1、对绿化项目范围内的绿化实施</w:t>
      </w:r>
      <w:r>
        <w:rPr>
          <w:rFonts w:hint="eastAsia" w:ascii="宋体" w:hAnsi="宋体"/>
          <w:color w:val="000000"/>
          <w:sz w:val="24"/>
          <w:highlight w:val="none"/>
          <w:lang w:val="en-US" w:eastAsia="zh-CN"/>
        </w:rPr>
        <w:t xml:space="preserve">除草、</w:t>
      </w:r>
      <w:r>
        <w:rPr>
          <w:rFonts w:hint="eastAsia" w:ascii="宋体" w:hAnsi="宋体"/>
          <w:color w:val="000000"/>
          <w:sz w:val="24"/>
          <w:highlight w:val="none"/>
        </w:rPr>
        <w:t xml:space="preserve">修剪、整枝、灌溉、施肥、排涝、</w:t>
      </w:r>
      <w:r>
        <w:rPr>
          <w:rFonts w:hint="eastAsia" w:ascii="宋体" w:hAnsi="宋体"/>
          <w:color w:val="000000"/>
          <w:sz w:val="24"/>
          <w:highlight w:val="none"/>
          <w:lang w:val="en-US" w:eastAsia="zh-CN"/>
        </w:rPr>
        <w:t xml:space="preserve">病虫害防治</w:t>
      </w:r>
      <w:r>
        <w:rPr>
          <w:rFonts w:hint="eastAsia" w:ascii="宋体" w:hAnsi="宋体"/>
          <w:color w:val="000000"/>
          <w:sz w:val="24"/>
          <w:highlight w:val="none"/>
        </w:rPr>
        <w:t xml:space="preserve">、修补踩坏草坪及更换死亡苗木</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苗木扶正</w:t>
      </w:r>
      <w:r>
        <w:rPr>
          <w:rFonts w:hint="eastAsia" w:ascii="宋体" w:hAnsi="宋体"/>
          <w:color w:val="000000"/>
          <w:sz w:val="24"/>
          <w:highlight w:val="none"/>
        </w:rPr>
        <w:t xml:space="preserve">等养护工作。</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2、按照</w:t>
      </w:r>
      <w:r>
        <w:rPr>
          <w:rFonts w:hint="eastAsia" w:ascii="宋体" w:hAnsi="宋体"/>
          <w:color w:val="000000"/>
          <w:sz w:val="24"/>
          <w:highlight w:val="none"/>
          <w:lang w:val="en-US" w:eastAsia="zh-CN"/>
        </w:rPr>
        <w:t xml:space="preserve">管养绿地管理要求</w:t>
      </w:r>
      <w:r>
        <w:rPr>
          <w:rFonts w:hint="eastAsia" w:ascii="宋体" w:hAnsi="宋体"/>
          <w:color w:val="000000"/>
          <w:sz w:val="24"/>
          <w:highlight w:val="none"/>
        </w:rPr>
        <w:t xml:space="preserve">执行。</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3、绿化养护期间，</w:t>
      </w:r>
      <w:r>
        <w:rPr>
          <w:rFonts w:hint="eastAsia" w:ascii="宋体" w:hAnsi="宋体"/>
          <w:color w:val="000000"/>
          <w:sz w:val="24"/>
          <w:highlight w:val="none"/>
          <w:lang w:val="en-US" w:eastAsia="zh-CN"/>
        </w:rPr>
        <w:t xml:space="preserve">绿地内</w:t>
      </w:r>
      <w:r>
        <w:rPr>
          <w:rFonts w:hint="eastAsia" w:ascii="宋体" w:hAnsi="宋体"/>
          <w:color w:val="000000"/>
          <w:sz w:val="24"/>
          <w:highlight w:val="none"/>
        </w:rPr>
        <w:t xml:space="preserve">应无杂草、落叶</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树枝</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枯树死枝及园林生产垃圾</w:t>
      </w:r>
      <w:r>
        <w:rPr>
          <w:rFonts w:hint="eastAsia" w:ascii="宋体" w:hAnsi="宋体"/>
          <w:color w:val="000000"/>
          <w:sz w:val="24"/>
          <w:highlight w:val="none"/>
        </w:rPr>
        <w:t xml:space="preserve">等均需及时</w:t>
      </w:r>
      <w:r>
        <w:rPr>
          <w:rFonts w:hint="eastAsia" w:ascii="宋体" w:hAnsi="宋体"/>
          <w:color w:val="000000"/>
          <w:sz w:val="24"/>
          <w:highlight w:val="none"/>
          <w:lang w:val="en-US" w:eastAsia="zh-CN"/>
        </w:rPr>
        <w:t xml:space="preserve">无害化处理</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禁止焚烧</w:t>
      </w:r>
      <w:r>
        <w:rPr>
          <w:rFonts w:hint="eastAsia" w:ascii="宋体" w:hAnsi="宋体"/>
          <w:color w:val="000000"/>
          <w:sz w:val="24"/>
          <w:highlight w:val="none"/>
        </w:rPr>
        <w:t xml:space="preserve">。</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、养护标准: </w:t>
      </w:r>
      <w:r/>
    </w:p>
    <w:p>
      <w:pPr>
        <w:ind w:firstLine="480"/>
        <w:spacing w:line="360" w:lineRule="auto"/>
        <w:rPr>
          <w:rFonts w:hint="eastAsia" w:ascii="宋体" w:hAnsi="宋体"/>
          <w:color w:val="000000"/>
          <w:sz w:val="24"/>
          <w:highlight w:val="none"/>
          <w:lang w:eastAsia="zh-CN"/>
        </w:rPr>
      </w:pPr>
      <w:r>
        <w:rPr>
          <w:rFonts w:hint="eastAsia" w:ascii="宋体" w:hAnsi="宋体"/>
          <w:color w:val="000000"/>
          <w:sz w:val="24"/>
          <w:highlight w:val="none"/>
        </w:rPr>
        <w:t xml:space="preserve">符合《</w:t>
      </w:r>
      <w:r>
        <w:rPr>
          <w:rFonts w:hint="eastAsia" w:ascii="宋体" w:hAnsi="宋体"/>
          <w:color w:val="000000"/>
          <w:sz w:val="24"/>
          <w:highlight w:val="none"/>
          <w:lang w:val="en-US" w:eastAsia="zh-CN"/>
        </w:rPr>
        <w:t xml:space="preserve">上黄</w:t>
      </w:r>
      <w:r>
        <w:rPr>
          <w:rFonts w:hint="eastAsia" w:ascii="宋体" w:hAnsi="宋体"/>
          <w:color w:val="000000"/>
          <w:sz w:val="24"/>
          <w:highlight w:val="none"/>
        </w:rPr>
        <w:t xml:space="preserve">镇绿地管理</w:t>
      </w:r>
      <w:r>
        <w:rPr>
          <w:rFonts w:hint="eastAsia" w:ascii="宋体" w:hAnsi="宋体"/>
          <w:color w:val="000000"/>
          <w:sz w:val="24"/>
          <w:highlight w:val="none"/>
          <w:lang w:val="en-US" w:eastAsia="zh-CN"/>
        </w:rPr>
        <w:t xml:space="preserve">要求</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w:t>
      </w:r>
      <w:r/>
    </w:p>
    <w:p>
      <w:pPr>
        <w:spacing w:line="360" w:lineRule="auto"/>
        <w:rPr>
          <w:b/>
          <w:bCs/>
          <w:color w:val="000000"/>
          <w:sz w:val="24"/>
          <w:szCs w:val="28"/>
          <w:highlight w:val="none"/>
        </w:rPr>
      </w:pPr>
      <w:r>
        <w:rPr>
          <w:rFonts w:hint="eastAsia"/>
          <w:b/>
          <w:bCs/>
          <w:color w:val="000000"/>
          <w:sz w:val="24"/>
          <w:szCs w:val="28"/>
          <w:highlight w:val="none"/>
          <w:lang w:val="en-US" w:eastAsia="zh-CN"/>
        </w:rPr>
        <w:t xml:space="preserve">二</w:t>
      </w:r>
      <w:r>
        <w:rPr>
          <w:rFonts w:hint="eastAsia"/>
          <w:b/>
          <w:bCs/>
          <w:color w:val="000000"/>
          <w:sz w:val="24"/>
          <w:szCs w:val="28"/>
          <w:highlight w:val="none"/>
        </w:rPr>
        <w:t xml:space="preserve">、质量要求：</w:t>
      </w:r>
      <w:r/>
    </w:p>
    <w:p>
      <w:pPr>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养护质量要求：符合《</w:t>
      </w:r>
      <w:r>
        <w:rPr>
          <w:rFonts w:hint="eastAsia" w:ascii="宋体" w:hAnsi="宋体"/>
          <w:color w:val="000000"/>
          <w:sz w:val="24"/>
          <w:highlight w:val="none"/>
          <w:lang w:val="en-US" w:eastAsia="zh-CN"/>
        </w:rPr>
        <w:t xml:space="preserve">上黄</w:t>
      </w:r>
      <w:r>
        <w:rPr>
          <w:rFonts w:hint="eastAsia" w:ascii="宋体" w:hAnsi="宋体"/>
          <w:color w:val="000000"/>
          <w:sz w:val="24"/>
          <w:highlight w:val="none"/>
        </w:rPr>
        <w:t xml:space="preserve">镇绿化</w:t>
      </w:r>
      <w:r>
        <w:rPr>
          <w:rFonts w:hint="eastAsia" w:ascii="宋体" w:hAnsi="宋体"/>
          <w:color w:val="000000"/>
          <w:sz w:val="24"/>
          <w:highlight w:val="none"/>
          <w:lang w:val="en-US" w:eastAsia="zh-CN"/>
        </w:rPr>
        <w:t xml:space="preserve">管养</w:t>
      </w:r>
      <w:r>
        <w:rPr>
          <w:rFonts w:hint="eastAsia" w:ascii="宋体" w:hAnsi="宋体"/>
          <w:color w:val="000000"/>
          <w:sz w:val="24"/>
          <w:highlight w:val="none"/>
        </w:rPr>
        <w:t xml:space="preserve">考核实施细则》</w:t>
      </w:r>
      <w:r>
        <w:rPr>
          <w:rFonts w:hint="eastAsia" w:ascii="宋体" w:hAnsi="宋体"/>
          <w:color w:val="000000"/>
          <w:sz w:val="24"/>
          <w:highlight w:val="none"/>
          <w:lang w:eastAsia="zh-CN"/>
        </w:rPr>
        <w:t xml:space="preserve">。</w:t>
      </w:r>
      <w:r/>
    </w:p>
    <w:p>
      <w:pPr>
        <w:spacing w:line="360" w:lineRule="auto"/>
        <w:rPr>
          <w:rFonts w:hint="eastAsia" w:ascii="Times New Roman" w:hAnsi="Times New Roman" w:eastAsia="宋体" w:cs="Times New Roman"/>
          <w:b/>
          <w:bCs/>
          <w:color w:val="000000"/>
          <w:sz w:val="24"/>
          <w:szCs w:val="28"/>
          <w:highlight w:val="none"/>
        </w:rPr>
      </w:pPr>
      <w:r>
        <w:rPr>
          <w:rFonts w:hint="eastAsia" w:ascii="Times New Roman" w:hAnsi="Times New Roman" w:eastAsia="宋体" w:cs="Times New Roman"/>
          <w:b/>
          <w:bCs/>
          <w:color w:val="000000"/>
          <w:sz w:val="24"/>
          <w:szCs w:val="28"/>
          <w:highlight w:val="none"/>
          <w:lang w:val="en-US" w:eastAsia="zh-CN"/>
        </w:rPr>
        <w:t xml:space="preserve">三、</w:t>
      </w:r>
      <w:r>
        <w:rPr>
          <w:rFonts w:hint="eastAsia" w:ascii="Times New Roman" w:hAnsi="Times New Roman" w:eastAsia="宋体" w:cs="Times New Roman"/>
          <w:b/>
          <w:bCs/>
          <w:color w:val="000000"/>
          <w:sz w:val="24"/>
          <w:szCs w:val="28"/>
          <w:highlight w:val="none"/>
        </w:rPr>
        <w:t xml:space="preserve">道路绿化数量统计表</w:t>
      </w:r>
      <w:r/>
    </w:p>
    <w:tbl>
      <w:tblPr>
        <w:tblStyle w:val="781"/>
        <w:tblW w:w="8990" w:type="dxa"/>
        <w:jc w:val="center"/>
        <w:tblLayout w:type="autofit"/>
        <w:tblCellMar>
          <w:left w:w="108" w:type="dxa"/>
          <w:top w:w="0" w:type="dxa"/>
          <w:right w:w="108" w:type="dxa"/>
          <w:bottom w:w="0" w:type="dxa"/>
        </w:tblCellMar>
        <w:tblLook w:val="04A0" w:firstRow="1" w:lastRow="0" w:firstColumn="1" w:lastColumn="0" w:noHBand="0" w:noVBand="1"/>
      </w:tblPr>
      <w:tblGrid>
        <w:gridCol w:w="2689"/>
        <w:gridCol w:w="1176"/>
        <w:gridCol w:w="1079"/>
        <w:gridCol w:w="1071"/>
        <w:gridCol w:w="858"/>
        <w:gridCol w:w="854"/>
        <w:gridCol w:w="1263"/>
      </w:tblGrid>
      <w:tr>
        <w:trPr>
          <w:jc w:val="center"/>
          <w:trHeight w:val="348"/>
        </w:trPr>
        <w:tc>
          <w:tcPr>
            <w:tcBorders>
              <w:top w:val="single" w:color="000000" w:sz="4" w:space="0"/>
              <w:left w:val="single" w:color="000000" w:sz="4" w:space="0"/>
              <w:bottom w:val="single" w:color="000000" w:sz="4" w:space="0"/>
              <w:right w:val="single" w:color="000000" w:sz="4" w:space="0"/>
            </w:tcBorders>
            <w:tcW w:w="2689" w:type="dxa"/>
            <w:vAlign w:val="center"/>
            <w:vMerge w:val="restart"/>
            <w:textDirection w:val="lrTb"/>
            <w:noWrap w:val="false"/>
          </w:tcPr>
          <w:p>
            <w:pPr>
              <w:jc w:val="center"/>
              <w:widowControl/>
              <w:rPr>
                <w:rFonts w:ascii="Times New Roman" w:hAnsi="Times New Roman" w:cs="Times New Roman"/>
                <w:b/>
                <w:bCs/>
                <w:sz w:val="24"/>
              </w:rPr>
            </w:pPr>
            <w:r>
              <w:rPr>
                <w:rFonts w:ascii="Times New Roman" w:hAnsi="Times New Roman" w:eastAsia="宋体" w:cs="Times New Roman"/>
                <w:b/>
                <w:bCs/>
                <w:sz w:val="24"/>
                <w:szCs w:val="24"/>
                <w:lang w:bidi="ar"/>
              </w:rPr>
              <w:t xml:space="preserve">地 点</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widowControl/>
              <w:rPr>
                <w:rFonts w:ascii="Times New Roman" w:hAnsi="Times New Roman" w:cs="Times New Roman"/>
                <w:b/>
                <w:bCs/>
                <w:sz w:val="24"/>
              </w:rPr>
            </w:pPr>
            <w:r>
              <w:rPr>
                <w:rFonts w:ascii="Times New Roman" w:hAnsi="Times New Roman" w:eastAsia="宋体" w:cs="Times New Roman"/>
                <w:b/>
                <w:bCs/>
                <w:sz w:val="24"/>
                <w:szCs w:val="24"/>
                <w:lang w:bidi="ar"/>
              </w:rPr>
              <w:t xml:space="preserve">草 地（㎡）</w:t>
            </w:r>
            <w:r/>
          </w:p>
        </w:tc>
        <w:tc>
          <w:tcPr>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jc w:val="center"/>
              <w:widowControl/>
              <w:rPr>
                <w:rFonts w:ascii="Times New Roman" w:hAnsi="Times New Roman" w:cs="Times New Roman"/>
                <w:b/>
                <w:bCs/>
                <w:sz w:val="24"/>
              </w:rPr>
            </w:pPr>
            <w:r>
              <w:rPr>
                <w:rFonts w:ascii="Times New Roman" w:hAnsi="Times New Roman" w:eastAsia="宋体" w:cs="Times New Roman"/>
                <w:b/>
                <w:bCs/>
                <w:sz w:val="24"/>
                <w:szCs w:val="24"/>
                <w:lang w:bidi="ar"/>
              </w:rPr>
              <w:t xml:space="preserve">色 块（㎡）</w:t>
            </w:r>
            <w:r/>
          </w:p>
        </w:tc>
        <w:tc>
          <w:tcPr>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jc w:val="center"/>
              <w:widowControl/>
              <w:rPr>
                <w:rFonts w:ascii="Times New Roman" w:hAnsi="Times New Roman" w:cs="Times New Roman"/>
                <w:b/>
                <w:bCs/>
                <w:sz w:val="24"/>
              </w:rPr>
            </w:pPr>
            <w:r>
              <w:rPr>
                <w:rFonts w:ascii="Times New Roman" w:hAnsi="Times New Roman" w:eastAsia="宋体" w:cs="Times New Roman"/>
                <w:b/>
                <w:bCs/>
                <w:sz w:val="24"/>
                <w:szCs w:val="24"/>
                <w:lang w:bidi="ar"/>
              </w:rPr>
              <w:t xml:space="preserve">球 类（㎡)</w:t>
            </w:r>
            <w:r/>
          </w:p>
        </w:tc>
        <w:tc>
          <w:tcPr>
            <w:gridSpan w:val="2"/>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widowControl/>
              <w:rPr>
                <w:rFonts w:ascii="Times New Roman" w:hAnsi="Times New Roman" w:cs="Times New Roman"/>
                <w:b/>
                <w:bCs/>
                <w:sz w:val="24"/>
              </w:rPr>
            </w:pPr>
            <w:r>
              <w:rPr>
                <w:rFonts w:ascii="Times New Roman" w:hAnsi="Times New Roman" w:eastAsia="宋体" w:cs="Times New Roman"/>
                <w:b/>
                <w:bCs/>
                <w:sz w:val="24"/>
                <w:szCs w:val="24"/>
                <w:lang w:bidi="ar"/>
              </w:rPr>
              <w:t xml:space="preserve">乔 木</w:t>
            </w:r>
            <w:r/>
          </w:p>
        </w:tc>
        <w:tc>
          <w:tcPr>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jc w:val="center"/>
              <w:widowControl/>
              <w:rPr>
                <w:rFonts w:ascii="Times New Roman" w:hAnsi="Times New Roman" w:cs="Times New Roman"/>
                <w:b/>
                <w:bCs/>
                <w:sz w:val="24"/>
              </w:rPr>
            </w:pPr>
            <w:r>
              <w:rPr>
                <w:rFonts w:ascii="Times New Roman" w:hAnsi="Times New Roman" w:eastAsia="宋体" w:cs="Times New Roman"/>
                <w:b/>
                <w:bCs/>
                <w:sz w:val="24"/>
                <w:szCs w:val="24"/>
                <w:lang w:bidi="ar"/>
              </w:rPr>
              <w:t xml:space="preserve">养护等级</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2689" w:type="dxa"/>
            <w:vAlign w:val="center"/>
            <w:vMerge w:val="continue"/>
            <w:textDirection w:val="lrTb"/>
            <w:noWrap w:val="false"/>
          </w:tcPr>
          <w:p>
            <w:pPr>
              <w:jc w:val="center"/>
              <w:rPr>
                <w:rFonts w:ascii="Times New Roman" w:hAnsi="Times New Roman" w:cs="Times New Roman"/>
                <w:b/>
                <w:bCs/>
                <w:sz w:val="24"/>
              </w:rPr>
            </w:pPr>
            <w:r>
              <w:rPr>
                <w:rFonts w:ascii="Times New Roman" w:hAnsi="Times New Roman" w:cs="Times New Roman"/>
                <w:b/>
                <w:bCs/>
                <w:sz w:val="24"/>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rPr>
                <w:rFonts w:ascii="Times New Roman" w:hAnsi="Times New Roman" w:cs="Times New Roman"/>
                <w:b/>
                <w:bCs/>
                <w:sz w:val="24"/>
              </w:rPr>
            </w:pPr>
            <w:r>
              <w:rPr>
                <w:rFonts w:ascii="Times New Roman" w:hAnsi="Times New Roman" w:cs="Times New Roman"/>
                <w:b/>
                <w:bCs/>
                <w:sz w:val="24"/>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jc w:val="center"/>
              <w:rPr>
                <w:rFonts w:ascii="Times New Roman" w:hAnsi="Times New Roman" w:cs="Times New Roman"/>
                <w:b/>
                <w:bCs/>
                <w:sz w:val="24"/>
              </w:rPr>
            </w:pPr>
            <w:r>
              <w:rPr>
                <w:rFonts w:ascii="Times New Roman" w:hAnsi="Times New Roman" w:cs="Times New Roman"/>
                <w:b/>
                <w:bCs/>
                <w:sz w:val="24"/>
              </w:rPr>
            </w:r>
            <w:r/>
          </w:p>
        </w:tc>
        <w:tc>
          <w:tcPr>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center"/>
              <w:rPr>
                <w:rFonts w:ascii="Times New Roman" w:hAnsi="Times New Roman" w:cs="Times New Roman"/>
                <w:b/>
                <w:bCs/>
                <w:sz w:val="24"/>
              </w:rPr>
            </w:pPr>
            <w:r>
              <w:rPr>
                <w:rFonts w:ascii="Times New Roman" w:hAnsi="Times New Roman" w:cs="Times New Roman"/>
                <w:b/>
                <w:bCs/>
                <w:sz w:val="24"/>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b/>
                <w:bCs/>
                <w:sz w:val="24"/>
              </w:rPr>
            </w:pPr>
            <w:r>
              <w:rPr>
                <w:rFonts w:ascii="Times New Roman" w:hAnsi="Times New Roman" w:eastAsia="宋体" w:cs="Times New Roman"/>
                <w:b/>
                <w:bCs/>
                <w:sz w:val="24"/>
                <w:szCs w:val="24"/>
                <w:lang w:bidi="ar"/>
              </w:rPr>
              <w:t xml:space="preserve">大</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cs="Times New Roman"/>
                <w:b/>
                <w:bCs/>
                <w:sz w:val="24"/>
              </w:rPr>
            </w:pPr>
            <w:r>
              <w:rPr>
                <w:rFonts w:ascii="Times New Roman" w:hAnsi="Times New Roman" w:eastAsia="宋体" w:cs="Times New Roman"/>
                <w:b/>
                <w:bCs/>
                <w:sz w:val="24"/>
                <w:szCs w:val="24"/>
                <w:lang w:bidi="ar"/>
              </w:rPr>
              <w:t xml:space="preserve">小</w:t>
            </w:r>
            <w:r/>
          </w:p>
        </w:tc>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jc w:val="center"/>
              <w:rPr>
                <w:rFonts w:ascii="Times New Roman" w:hAnsi="Times New Roman" w:cs="Times New Roman"/>
                <w:b/>
                <w:bCs/>
                <w:sz w:val="24"/>
              </w:rPr>
            </w:pPr>
            <w:r>
              <w:rPr>
                <w:rFonts w:ascii="Times New Roman" w:hAnsi="Times New Roman" w:cs="Times New Roman"/>
                <w:b/>
                <w:bCs/>
                <w:sz w:val="24"/>
              </w:rPr>
            </w:r>
            <w:r/>
          </w:p>
        </w:tc>
      </w:tr>
      <w:tr>
        <w:trPr>
          <w:jc w:val="center"/>
          <w:trHeight w:val="696"/>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bCs/>
                <w:color w:val="auto"/>
                <w:sz w:val="24"/>
              </w:rPr>
            </w:pPr>
            <w:r>
              <w:rPr>
                <w:rFonts w:ascii="Times New Roman" w:hAnsi="Times New Roman" w:eastAsia="宋体" w:cs="Times New Roman"/>
                <w:bCs/>
                <w:color w:val="auto"/>
                <w:sz w:val="24"/>
                <w:szCs w:val="24"/>
                <w:lang w:bidi="ar"/>
              </w:rPr>
              <w:t xml:space="preserve">镇政府内</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7380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3336</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b/>
                <w:bCs/>
                <w:color w:val="auto"/>
                <w:sz w:val="24"/>
              </w:rPr>
            </w:pPr>
            <w:r>
              <w:rPr>
                <w:rFonts w:ascii="Times New Roman" w:hAnsi="Times New Roman" w:eastAsia="宋体" w:cs="Times New Roman"/>
                <w:b/>
                <w:bCs/>
                <w:color w:val="auto"/>
                <w:sz w:val="24"/>
                <w:szCs w:val="24"/>
                <w:lang w:bidi="ar"/>
              </w:rPr>
              <w:t xml:space="preserve">一级</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bCs/>
                <w:color w:val="auto"/>
                <w:sz w:val="24"/>
              </w:rPr>
            </w:pPr>
            <w:r>
              <w:rPr>
                <w:rFonts w:ascii="Times New Roman" w:hAnsi="Times New Roman" w:eastAsia="宋体" w:cs="Times New Roman"/>
                <w:bCs/>
                <w:color w:val="auto"/>
                <w:sz w:val="24"/>
                <w:szCs w:val="24"/>
                <w:lang w:bidi="ar"/>
              </w:rPr>
              <w:t xml:space="preserve">239绿化节点</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33610.9</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b/>
                <w:bCs/>
                <w:color w:val="auto"/>
                <w:sz w:val="24"/>
              </w:rPr>
            </w:pPr>
            <w:r>
              <w:rPr>
                <w:rFonts w:ascii="Times New Roman" w:hAnsi="Times New Roman" w:eastAsia="宋体" w:cs="Times New Roman"/>
                <w:b/>
                <w:bCs/>
                <w:color w:val="auto"/>
                <w:sz w:val="24"/>
                <w:szCs w:val="24"/>
                <w:lang w:bidi="ar"/>
              </w:rPr>
              <w:t xml:space="preserve">一级</w:t>
            </w:r>
            <w:r/>
          </w:p>
        </w:tc>
      </w:tr>
      <w:tr>
        <w:trPr>
          <w:jc w:val="center"/>
          <w:trHeight w:val="696"/>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上黄河古街道牌楼、生产桥东</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1586</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南环中路、南大街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1666</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前小村、桥北三个公园</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3160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696"/>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扬子东路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20708</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扬子中路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696"/>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曙猿路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21462</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37985</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1208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山水公园（玕西公园）</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10432</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1286</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北环路西—飞跃路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工业园区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8365</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名城路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4072</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法兴寺路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3731</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学府路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553.5</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517.5</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南环路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133.2</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cs="Times New Roman"/>
                <w:color w:val="auto"/>
                <w:sz w:val="24"/>
                <w:szCs w:val="24"/>
                <w:lang w:bidi="ar"/>
              </w:rPr>
              <w:t xml:space="preserve">上河</w:t>
            </w:r>
            <w:r>
              <w:rPr>
                <w:rFonts w:ascii="Times New Roman" w:hAnsi="Times New Roman" w:eastAsia="宋体" w:cs="Times New Roman"/>
                <w:color w:val="auto"/>
                <w:sz w:val="24"/>
                <w:szCs w:val="24"/>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邮电路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上林路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3564</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3506.5</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变电所</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5636</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2024</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曙猿公园</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34017</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cs="Times New Roman"/>
                <w:color w:val="auto"/>
                <w:sz w:val="24"/>
                <w:szCs w:val="24"/>
              </w:rPr>
              <w:t xml:space="preserve">国土局</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cs="Times New Roman"/>
                <w:color w:val="auto"/>
                <w:sz w:val="24"/>
                <w:szCs w:val="24"/>
              </w:rPr>
              <w:t xml:space="preserve">641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szCs w:val="24"/>
              </w:rPr>
              <w:t xml:space="preserve">44.3</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b/>
                <w:bCs/>
                <w:color w:val="auto"/>
                <w:sz w:val="24"/>
              </w:rPr>
            </w:pPr>
            <w:r>
              <w:rPr>
                <w:rFonts w:ascii="Times New Roman" w:hAnsi="Times New Roman" w:cs="Times New Roman"/>
                <w:color w:val="auto"/>
                <w:sz w:val="24"/>
                <w:szCs w:val="24"/>
              </w:rPr>
              <w:t xml:space="preserve">飞跃广场</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cs="Times New Roman"/>
                <w:color w:val="auto"/>
                <w:sz w:val="24"/>
                <w:szCs w:val="24"/>
              </w:rPr>
              <w:t xml:space="preserve">1816.8</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szCs w:val="24"/>
              </w:rPr>
              <w:t xml:space="preserve">356.8</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rPr>
            </w:pPr>
            <w:r>
              <w:rPr>
                <w:rFonts w:ascii="Times New Roman" w:hAnsi="Times New Roman" w:cs="Times New Roman"/>
                <w:color w:val="auto"/>
                <w:sz w:val="24"/>
                <w:szCs w:val="24"/>
              </w:rPr>
              <w:t xml:space="preserve">颂园公园</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cs="Times New Roman"/>
                <w:color w:val="auto"/>
                <w:sz w:val="24"/>
                <w:szCs w:val="24"/>
              </w:rPr>
              <w:t xml:space="preserve">964.5</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cs="Times New Roman"/>
                <w:color w:val="auto"/>
                <w:sz w:val="24"/>
                <w:szCs w:val="24"/>
              </w:rPr>
              <w:t xml:space="preserve">153.3</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cs="Times New Roman"/>
                <w:color w:val="auto"/>
                <w:sz w:val="24"/>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cs="Times New Roman"/>
                <w:color w:val="auto"/>
                <w:sz w:val="24"/>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cs="Times New Roman"/>
                <w:color w:val="auto"/>
                <w:sz w:val="24"/>
                <w:lang w:bidi="ar"/>
              </w:rPr>
            </w:pPr>
            <w:r>
              <w:rPr>
                <w:rFonts w:ascii="Times New Roman" w:hAnsi="Times New Roman" w:cs="Times New Roman"/>
                <w:color w:val="auto"/>
                <w:sz w:val="24"/>
                <w:szCs w:val="24"/>
                <w:lang w:bidi="ar"/>
              </w:rPr>
              <w:t xml:space="preserve">湿地公园大门至曙猿桥</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lang w:bidi="ar"/>
              </w:rPr>
            </w:pPr>
            <w:r>
              <w:rPr>
                <w:rFonts w:ascii="Times New Roman" w:hAnsi="Times New Roman" w:cs="Times New Roman"/>
                <w:color w:val="auto"/>
                <w:sz w:val="24"/>
                <w:szCs w:val="24"/>
                <w:lang w:bidi="ar"/>
              </w:rPr>
              <w:t xml:space="preserve">220</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lang w:bidi="ar"/>
              </w:rPr>
            </w:pPr>
            <w:r>
              <w:rPr>
                <w:rFonts w:ascii="Times New Roman" w:hAnsi="Times New Roman" w:cs="Times New Roman"/>
                <w:color w:val="auto"/>
                <w:sz w:val="24"/>
                <w:szCs w:val="24"/>
                <w:lang w:bidi="ar"/>
              </w:rPr>
              <w:t xml:space="preserve">986.5</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lang w:bidi="ar"/>
              </w:rPr>
            </w:pPr>
            <w:r>
              <w:rPr>
                <w:rFonts w:ascii="Times New Roman" w:hAnsi="Times New Roman" w:cs="Times New Roman"/>
                <w:color w:val="auto"/>
                <w:sz w:val="24"/>
                <w:lang w:bidi="ar"/>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lang w:bidi="ar"/>
              </w:rPr>
            </w:pPr>
            <w:r>
              <w:rPr>
                <w:rFonts w:ascii="Times New Roman" w:hAnsi="Times New Roman" w:cs="Times New Roman"/>
                <w:color w:val="auto"/>
                <w:sz w:val="24"/>
                <w:lang w:bidi="ar"/>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cs="Times New Roman"/>
                <w:color w:val="auto"/>
                <w:sz w:val="24"/>
                <w:lang w:bidi="ar"/>
              </w:rPr>
            </w:pPr>
            <w:r>
              <w:rPr>
                <w:rFonts w:ascii="Times New Roman" w:hAnsi="Times New Roman" w:cs="Times New Roman"/>
                <w:color w:val="auto"/>
                <w:sz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cs="Times New Roman"/>
                <w:color w:val="auto"/>
                <w:sz w:val="24"/>
                <w:szCs w:val="24"/>
              </w:rPr>
              <w:t xml:space="preserve">183233.7</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cs="Times New Roman"/>
                <w:color w:val="auto"/>
                <w:sz w:val="24"/>
                <w:szCs w:val="24"/>
              </w:rPr>
              <w:t xml:space="preserve">55123.1</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cs="Times New Roman"/>
                <w:color w:val="auto"/>
                <w:sz w:val="24"/>
                <w:szCs w:val="24"/>
                <w:lang w:bidi="ar"/>
              </w:rPr>
              <w:t xml:space="preserve">1353</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cs="Times New Roman"/>
                <w:color w:val="auto"/>
                <w:sz w:val="24"/>
                <w:szCs w:val="24"/>
                <w:lang w:bidi="ar"/>
              </w:rPr>
              <w:t xml:space="preserve">4605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cs="Times New Roman"/>
                <w:color w:val="auto"/>
                <w:sz w:val="24"/>
              </w:rPr>
            </w:pPr>
            <w:r>
              <w:rPr>
                <w:rFonts w:ascii="Times New Roman" w:hAnsi="Times New Roman" w:eastAsia="宋体" w:cs="Times New Roman"/>
                <w:color w:val="auto"/>
                <w:sz w:val="24"/>
                <w:szCs w:val="24"/>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rPr>
                <w:rFonts w:ascii="Times New Roman" w:hAnsi="Times New Roman" w:cs="Times New Roman"/>
                <w:color w:val="auto"/>
                <w:sz w:val="24"/>
              </w:rPr>
            </w:pPr>
            <w:r>
              <w:rPr>
                <w:rFonts w:ascii="Times New Roman" w:hAnsi="Times New Roman" w:cs="Times New Roman"/>
                <w:color w:val="auto"/>
                <w:sz w:val="24"/>
              </w:rPr>
            </w:r>
            <w:r/>
          </w:p>
        </w:tc>
      </w:tr>
    </w:tbl>
    <w:p>
      <w:pPr>
        <w:contextualSpacing/>
        <w:spacing w:line="360" w:lineRule="auto"/>
        <w:rPr>
          <w:color w:val="000000"/>
          <w:sz w:val="24"/>
          <w:highlight w:val="none"/>
        </w:rPr>
      </w:pPr>
      <w:r>
        <w:rPr>
          <w:color w:val="000000"/>
          <w:sz w:val="24"/>
          <w:highlight w:val="none"/>
        </w:rPr>
      </w:r>
      <w:r/>
    </w:p>
    <w:p>
      <w:pPr>
        <w:rPr>
          <w:color w:val="000000"/>
          <w:highlight w:val="none"/>
        </w:rPr>
      </w:pPr>
      <w:r>
        <w:rPr>
          <w:color w:val="000000"/>
          <w:highlight w:val="none"/>
        </w:rPr>
      </w:r>
      <w:r/>
    </w:p>
    <w:p>
      <w:pPr>
        <w:spacing w:line="360" w:lineRule="auto"/>
        <w:rPr>
          <w:rFonts w:hint="eastAsia"/>
          <w:b/>
          <w:bCs/>
          <w:color w:val="000000"/>
          <w:sz w:val="24"/>
          <w:szCs w:val="28"/>
          <w:highlight w:val="none"/>
          <w:lang w:val="en-US" w:eastAsia="zh-CN"/>
        </w:rPr>
      </w:pPr>
      <w:r>
        <w:rPr>
          <w:rFonts w:hint="eastAsia"/>
          <w:b/>
          <w:bCs/>
          <w:color w:val="000000"/>
          <w:sz w:val="24"/>
          <w:szCs w:val="28"/>
          <w:highlight w:val="none"/>
          <w:lang w:val="en-US" w:eastAsia="zh-CN"/>
        </w:rPr>
        <w:br w:type="page" w:clear="all"/>
      </w:r>
      <w:r>
        <w:rPr>
          <w:rFonts w:hint="eastAsia"/>
          <w:b/>
          <w:bCs/>
          <w:color w:val="000000"/>
          <w:sz w:val="24"/>
          <w:szCs w:val="28"/>
          <w:highlight w:val="none"/>
          <w:lang w:val="en-US" w:eastAsia="zh-CN"/>
        </w:rPr>
        <w:t xml:space="preserve">四、绿地管理要求</w:t>
      </w:r>
      <w:r/>
    </w:p>
    <w:p>
      <w:pPr>
        <w:ind w:firstLine="3373"/>
        <w:jc w:val="both"/>
        <w:rPr>
          <w:rFonts w:eastAsia="宋体"/>
          <w:b/>
          <w:color w:val="000000"/>
          <w:sz w:val="28"/>
          <w:szCs w:val="28"/>
          <w:highlight w:val="none"/>
          <w:lang w:val="en-US" w:eastAsia="zh-CN"/>
        </w:rPr>
      </w:pPr>
      <w:r>
        <w:rPr>
          <w:rFonts w:hint="eastAsia"/>
          <w:b/>
          <w:color w:val="000000"/>
          <w:sz w:val="28"/>
          <w:szCs w:val="28"/>
          <w:highlight w:val="none"/>
          <w:lang w:val="en-US" w:eastAsia="zh-CN"/>
        </w:rPr>
        <w:t xml:space="preserve">镇区范围绿地管理要求</w:t>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992"/>
        <w:gridCol w:w="4536"/>
        <w:gridCol w:w="3590"/>
      </w:tblGrid>
      <w:tr>
        <w:trPr>
          <w:jc w:val="center"/>
          <w:trHeight w:val="452"/>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内容</w:t>
            </w:r>
            <w:r/>
          </w:p>
        </w:tc>
        <w:tc>
          <w:tcPr>
            <w:tcW w:w="4536"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特级、一级</w:t>
            </w:r>
            <w:r/>
          </w:p>
        </w:tc>
        <w:tc>
          <w:tcPr>
            <w:tcW w:w="3590"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二级</w:t>
            </w:r>
            <w:r/>
          </w:p>
        </w:tc>
      </w:tr>
      <w:tr>
        <w:trPr>
          <w:jc w:val="center"/>
          <w:trHeight w:val="2312"/>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w:t>
            </w:r>
            <w:r/>
          </w:p>
        </w:tc>
        <w:tc>
          <w:tcPr>
            <w:tcW w:w="992" w:type="dxa"/>
            <w:vAlign w:val="center"/>
            <w:textDirection w:val="lrTb"/>
            <w:noWrap w:val="false"/>
          </w:tcPr>
          <w:p>
            <w:pPr>
              <w:jc w:val="cente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乔灌木</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1、树木生长正常，不歪斜（造型树木除外）；</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2、乔木树形完美，主侧枝均匀，数量适宜，内膛通风透光，无枯死枝、过密枝、下垂枝等；</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3、花灌木开花及时，正常，花后修剪及时。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4、乔木根部无萌蘖枝；</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5、无缺株、死树，无杂树，无明显杂草；</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6、基本无病虫害危害迹象。</w:t>
            </w:r>
            <w:r/>
          </w:p>
        </w:tc>
        <w:tc>
          <w:tcPr>
            <w:tcW w:w="359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1、树木生长正常，不歪斜（造型树木除外）；</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2、乔木树形基本完整，符合其自然特征，无明显的枯、死枝；</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3、花灌木开花及时，花后修剪及时；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4、无缺株、死树，无杂树，无藤本缠绕；</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5、无明显病虫害危害迹象；</w:t>
            </w:r>
            <w:r/>
          </w:p>
        </w:tc>
      </w:tr>
      <w:tr>
        <w:trPr>
          <w:jc w:val="center"/>
          <w:trHeight w:val="1228"/>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p>
        </w:tc>
        <w:tc>
          <w:tcPr>
            <w:tcW w:w="992" w:type="dxa"/>
            <w:vAlign w:val="center"/>
            <w:textDirection w:val="lrTb"/>
            <w:noWrap w:val="false"/>
          </w:tcPr>
          <w:p>
            <w:pPr>
              <w:jc w:val="cente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绿篱色块地被</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1、生长茂盛，枝条茂密，密度适宜；</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2、生长季节修剪、追肥及时，修剪形态符合景观观赏要求；</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3、无人为践踏、断行缺株现象；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4、基本无病虫害危害。</w:t>
            </w:r>
            <w:r/>
          </w:p>
        </w:tc>
        <w:tc>
          <w:tcPr>
            <w:tcW w:w="359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1、生长良好；</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2、生长季节及时修剪、追肥，修剪形态符合生长要求；</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3、无人为践踏、断行缺株现象；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4、无明显病虫害危害。</w:t>
            </w:r>
            <w:r/>
          </w:p>
        </w:tc>
      </w:tr>
      <w:tr>
        <w:trPr>
          <w:jc w:val="center"/>
          <w:trHeight w:val="2306"/>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w:t>
            </w:r>
            <w:r/>
          </w:p>
        </w:tc>
        <w:tc>
          <w:tcPr>
            <w:tcW w:w="992" w:type="dxa"/>
            <w:vAlign w:val="center"/>
            <w:textDirection w:val="lrTb"/>
            <w:noWrap w:val="false"/>
          </w:tcPr>
          <w:p>
            <w:pPr>
              <w:jc w:val="cente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草坪</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1、草坪生长茂盛，景观效果好；</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2、修剪及时，修剪高度符合要求；</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3、草坪边缘线清晰（树穴、花坛交界处、其他植物间）；</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4、基本无杂草，基本无病虫害危害现象；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5、草坪集中空秃面积不超过0.2㎡；</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6、绿地平整，无坑洼积水。</w:t>
            </w:r>
            <w:r/>
          </w:p>
        </w:tc>
        <w:tc>
          <w:tcPr>
            <w:tcW w:w="359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1、草坪生长正常，无明显空秃，集中空秃面积不超过0.5㎡；</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2、修剪及时，高度符合要求；</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3、无阔叶杂草、大型野草等，杂草控制高度在5㎝以下；</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4、无明显病虫害危害迹象；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5、绿地平整，无大面积的坑洼积水现象。</w:t>
            </w:r>
            <w:r/>
          </w:p>
        </w:tc>
      </w:tr>
      <w:tr>
        <w:trPr>
          <w:jc w:val="center"/>
          <w:trHeight w:val="1387"/>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4</w:t>
            </w:r>
            <w:r/>
          </w:p>
        </w:tc>
        <w:tc>
          <w:tcPr>
            <w:tcW w:w="992" w:type="dxa"/>
            <w:vAlign w:val="center"/>
            <w:textDirection w:val="lrTb"/>
            <w:noWrap w:val="false"/>
          </w:tcPr>
          <w:p>
            <w:pPr>
              <w:jc w:val="cente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水体</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1、水面无漂浮物，河内水草清理及时；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2、水生植物生长健壮，观赏期长，秋冬季按要求收割及时；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3、无游泳现象；</w:t>
            </w:r>
            <w:r/>
          </w:p>
        </w:tc>
        <w:tc>
          <w:tcPr>
            <w:tcW w:w="359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1、水面无漂浮物，河内水草清理及时；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2、水生植物生长良好，保持正常形态特征，无明显有害生物危害；秋冬季按要求收割及时；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3、无游泳现象；</w:t>
            </w:r>
            <w:r/>
          </w:p>
        </w:tc>
      </w:tr>
      <w:tr>
        <w:trPr>
          <w:jc w:val="center"/>
          <w:trHeight w:val="2082"/>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5</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园林设施维护</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1、园林建构筑物、小品及各类便民设施保持完好，无安全隐患、无破损现象，无乱涂写、乱张贴、乱涂刻现象；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2、设施损坏后修复及时；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3、园路、铺装平整，无破损、无积水现象；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4、树木支撑桩位扎缚规范、有效。</w:t>
            </w:r>
            <w:r/>
          </w:p>
        </w:tc>
        <w:tc>
          <w:tcPr>
            <w:tcW w:w="359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1、园林设施基本完好，无安全隐患、无乱涂写、乱张贴、乱涂刻现象；有问题及时处理并上报；</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2、园路、铺装无积水现象；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3、树木支撑桩位扎缚规范、有效。</w:t>
            </w:r>
            <w:r/>
          </w:p>
        </w:tc>
      </w:tr>
      <w:tr>
        <w:trPr>
          <w:jc w:val="center"/>
          <w:trHeight w:val="2052"/>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6</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卫生</w:t>
            </w:r>
            <w:r/>
          </w:p>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保洁</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1、绿地各类便民设施整洁，无陈旧积尘；</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2、绿地整洁，无枯枝落叶，无杂物、无白色垃圾（树挂）、无建筑垃圾，垃圾日产日清。</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3、作业废弃物（如树枝、树叶、草屑等）、水面杂物，日产日清。</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4、无卫生死角。</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59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1、绿地基本整洁，无枯枝落叶，无明显杂物、无白色垃圾、无建筑垃圾。</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2、作业废弃物（如树枝、树叶、草屑等）、绿地内水面杂物，日产日清。</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3、无卫生死角。</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2015"/>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7</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绿地</w:t>
            </w:r>
            <w:r/>
          </w:p>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秩序</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1、无侵占毁绿行为和现象；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2、秩序良好，无乱堆乱放、晾晒衣物、无乱设摊和车辆乱停放现象；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3、对被破坏或其他原因引起的绿地损坏及时上报；</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4、及时清运各种垃圾杂物等，严禁现场焚烧。</w:t>
            </w:r>
            <w:r/>
          </w:p>
        </w:tc>
        <w:tc>
          <w:tcPr>
            <w:tcW w:w="359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1、无侵占毁绿行为和现象；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2、秩序良好，无乱堆乱放、晾晒衣物、无乱设摊和车辆乱停放现象；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3、对被破坏或其他原因引起的绿地损坏及时上报；</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4、及时清运各种垃圾杂物等，严禁现场焚烧。</w:t>
            </w:r>
            <w:r/>
          </w:p>
        </w:tc>
      </w:tr>
      <w:tr>
        <w:trPr>
          <w:jc w:val="center"/>
          <w:trHeight w:val="1289"/>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8</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人员要求</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1、上岗人员年龄、数量附合规定；</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2、在岗人员统一着装，穿戴整齐，安全、规范、文明作业。</w:t>
            </w:r>
            <w:r/>
          </w:p>
        </w:tc>
        <w:tc>
          <w:tcPr>
            <w:tcW w:w="359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1、上岗人员年龄、数量附合规定；</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2、在岗人员统一着装，穿戴整齐，安全、规范、文明作业。</w:t>
            </w:r>
            <w:r/>
          </w:p>
        </w:tc>
      </w:tr>
      <w:tr>
        <w:trPr>
          <w:jc w:val="center"/>
          <w:trHeight w:val="1440"/>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9</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组织管理</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1、绿化管理台帐齐全，有专人负责；</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2、根据绿地情况，制定绿地管养技术措施及年度养护计划、月度工作计划等；</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3、有应急抢险预案措施；</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4、加强对职工培训，提高职工的技术水平；</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5、按照有关安全生产操作规程组织作业。</w:t>
            </w:r>
            <w:r/>
          </w:p>
        </w:tc>
        <w:tc>
          <w:tcPr>
            <w:tcW w:w="359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1、绿化管理台帐齐全，有专人负责；</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2、根据绿地情况，制定绿地管养技术措施及年度养护计划、月度工作计划等；</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3、有应急抢险预案措施；</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4、加强对职工培训，提高职工的技术水平；</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5、按照有关安全生产操作规程组织作业。</w:t>
            </w:r>
            <w:r/>
          </w:p>
        </w:tc>
      </w:tr>
      <w:tr>
        <w:trPr>
          <w:jc w:val="center"/>
          <w:trHeight w:val="1440"/>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10</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其它</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1、公园绿地内4—10月份保洁时间为6：00—21：00，11—3月份7：00—20：00；其他绿地保洁时间为7：30—18：00；</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2、绿地保洁、养护人员见具体路段。</w:t>
            </w:r>
            <w:r/>
          </w:p>
        </w:tc>
        <w:tc>
          <w:tcPr>
            <w:tcW w:w="359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1、绿地保洁时间为7：00—17：30；</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2、绿地保洁、养护人员见具体路段。</w:t>
            </w:r>
            <w:r/>
          </w:p>
        </w:tc>
      </w:tr>
    </w:tbl>
    <w:p>
      <w:pPr>
        <w:jc w:val="both"/>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rPr>
          <w:b/>
          <w:color w:val="000000"/>
          <w:sz w:val="30"/>
          <w:szCs w:val="30"/>
          <w:highlight w:val="none"/>
        </w:rPr>
      </w:pPr>
      <w:r>
        <w:rPr>
          <w:b/>
          <w:color w:val="000000"/>
          <w:sz w:val="30"/>
          <w:szCs w:val="30"/>
          <w:highlight w:val="none"/>
        </w:rPr>
      </w:r>
      <w:r/>
    </w:p>
    <w:p>
      <w:pPr>
        <w:pStyle w:val="804"/>
        <w:rPr>
          <w:b/>
          <w:color w:val="000000"/>
          <w:sz w:val="30"/>
          <w:szCs w:val="30"/>
          <w:highlight w:val="none"/>
        </w:rPr>
      </w:pPr>
      <w:r>
        <w:rPr>
          <w:b/>
          <w:color w:val="000000"/>
          <w:sz w:val="30"/>
          <w:szCs w:val="30"/>
          <w:highlight w:val="none"/>
        </w:rPr>
      </w:r>
      <w:r/>
    </w:p>
    <w:p>
      <w:pPr>
        <w:rPr>
          <w:b/>
          <w:color w:val="000000"/>
          <w:sz w:val="30"/>
          <w:szCs w:val="30"/>
          <w:highlight w:val="none"/>
        </w:rPr>
      </w:pPr>
      <w:r>
        <w:rPr>
          <w:b/>
          <w:color w:val="000000"/>
          <w:sz w:val="30"/>
          <w:szCs w:val="30"/>
          <w:highlight w:val="none"/>
        </w:rPr>
      </w:r>
      <w:r/>
    </w:p>
    <w:p>
      <w:pPr>
        <w:spacing w:line="276" w:lineRule="auto"/>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r>
      <w:r/>
    </w:p>
    <w:p>
      <w:pPr>
        <w:spacing w:line="276" w:lineRule="auto"/>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r>
      <w:r/>
    </w:p>
    <w:p>
      <w:pPr>
        <w:spacing w:line="276" w:lineRule="auto"/>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r>
      <w:r/>
    </w:p>
    <w:p>
      <w:pPr>
        <w:spacing w:line="276" w:lineRule="auto"/>
        <w:rPr>
          <w:rFonts w:hint="eastAsia" w:ascii="宋体" w:hAnsi="宋体" w:eastAsia="宋体"/>
          <w:b/>
          <w:bCs/>
          <w:color w:val="000000"/>
          <w:sz w:val="24"/>
          <w:highlight w:val="none"/>
          <w:lang w:eastAsia="zh-CN"/>
        </w:rPr>
      </w:pPr>
      <w:r>
        <w:rPr>
          <w:rFonts w:hint="eastAsia" w:ascii="宋体" w:hAnsi="宋体"/>
          <w:b/>
          <w:bCs/>
          <w:color w:val="000000"/>
          <w:sz w:val="24"/>
          <w:highlight w:val="none"/>
          <w:lang w:val="en-US" w:eastAsia="zh-CN"/>
        </w:rPr>
        <w:t xml:space="preserve">五</w:t>
      </w:r>
      <w:r>
        <w:rPr>
          <w:rFonts w:hint="eastAsia" w:ascii="宋体" w:hAnsi="宋体"/>
          <w:b/>
          <w:bCs/>
          <w:color w:val="000000"/>
          <w:sz w:val="24"/>
          <w:highlight w:val="none"/>
        </w:rPr>
        <w:t xml:space="preserve">、考核</w:t>
      </w:r>
      <w:r>
        <w:rPr>
          <w:rFonts w:hint="eastAsia" w:ascii="宋体" w:hAnsi="宋体"/>
          <w:b/>
          <w:bCs/>
          <w:color w:val="000000"/>
          <w:sz w:val="24"/>
          <w:highlight w:val="none"/>
          <w:lang w:val="en-US" w:eastAsia="zh-CN"/>
        </w:rPr>
        <w:t xml:space="preserve">细则</w:t>
      </w:r>
      <w:r/>
    </w:p>
    <w:p>
      <w:pPr>
        <w:ind w:firstLine="3092"/>
        <w:jc w:val="both"/>
        <w:rPr>
          <w:rFonts w:eastAsia="宋体"/>
          <w:b/>
          <w:color w:val="000000"/>
          <w:sz w:val="28"/>
          <w:szCs w:val="28"/>
          <w:highlight w:val="none"/>
          <w:lang w:val="en-US" w:eastAsia="zh-CN"/>
        </w:rPr>
      </w:pPr>
      <w:r>
        <w:rPr>
          <w:rFonts w:eastAsia="宋体"/>
          <w:b/>
          <w:color w:val="000000"/>
          <w:sz w:val="28"/>
          <w:szCs w:val="28"/>
          <w:highlight w:val="none"/>
          <w:lang w:val="en-US" w:eastAsia="zh-CN"/>
        </w:rPr>
        <w:t xml:space="preserve">上黄镇</w:t>
      </w:r>
      <w:r>
        <w:rPr>
          <w:rFonts w:hint="eastAsia" w:eastAsia="宋体"/>
          <w:b/>
          <w:color w:val="000000"/>
          <w:sz w:val="28"/>
          <w:szCs w:val="28"/>
          <w:highlight w:val="none"/>
          <w:lang w:val="en-US" w:eastAsia="zh-CN"/>
        </w:rPr>
        <w:t xml:space="preserve">区范围</w:t>
      </w:r>
      <w:r>
        <w:rPr>
          <w:rFonts w:eastAsia="宋体"/>
          <w:b/>
          <w:color w:val="000000"/>
          <w:sz w:val="28"/>
          <w:szCs w:val="28"/>
          <w:highlight w:val="none"/>
          <w:lang w:val="en-US" w:eastAsia="zh-CN"/>
        </w:rPr>
        <w:t xml:space="preserve">绿化</w:t>
      </w:r>
      <w:r>
        <w:rPr>
          <w:rFonts w:hint="eastAsia" w:eastAsia="宋体"/>
          <w:b/>
          <w:color w:val="000000"/>
          <w:sz w:val="28"/>
          <w:szCs w:val="28"/>
          <w:highlight w:val="none"/>
          <w:lang w:val="en-US" w:eastAsia="zh-CN"/>
        </w:rPr>
        <w:t xml:space="preserve">管养</w:t>
      </w:r>
      <w:r>
        <w:rPr>
          <w:rFonts w:eastAsia="宋体"/>
          <w:b/>
          <w:color w:val="000000"/>
          <w:sz w:val="28"/>
          <w:szCs w:val="28"/>
          <w:highlight w:val="none"/>
          <w:lang w:val="en-US" w:eastAsia="zh-CN"/>
        </w:rPr>
        <w:t xml:space="preserve">考核细则</w:t>
      </w:r>
      <w:r/>
    </w:p>
    <w:tbl>
      <w:tblPr>
        <w:tblStyle w:val="781"/>
        <w:tblW w:w="95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794"/>
        <w:gridCol w:w="3600"/>
        <w:gridCol w:w="2668"/>
        <w:gridCol w:w="1018"/>
        <w:gridCol w:w="708"/>
      </w:tblGrid>
      <w:tr>
        <w:trPr>
          <w:jc w:val="center"/>
          <w:trHeight w:val="397"/>
        </w:trPr>
        <w:tc>
          <w:tcPr>
            <w:tcW w:w="714" w:type="dxa"/>
            <w:vAlign w:val="center"/>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项目</w:t>
            </w:r>
            <w:r/>
          </w:p>
        </w:tc>
        <w:tc>
          <w:tcPr>
            <w:tcW w:w="794" w:type="dxa"/>
            <w:vAlign w:val="center"/>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分值</w:t>
            </w:r>
            <w:r/>
          </w:p>
        </w:tc>
        <w:tc>
          <w:tcPr>
            <w:tcW w:w="3600" w:type="dxa"/>
            <w:vAlign w:val="center"/>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考  核  标  准</w:t>
            </w:r>
            <w:r/>
          </w:p>
        </w:tc>
        <w:tc>
          <w:tcPr>
            <w:gridSpan w:val="2"/>
            <w:tcW w:w="3686" w:type="dxa"/>
            <w:vAlign w:val="center"/>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扣  分  细  则</w:t>
            </w:r>
            <w:r/>
          </w:p>
        </w:tc>
        <w:tc>
          <w:tcPr>
            <w:tcW w:w="708" w:type="dxa"/>
            <w:vAlign w:val="center"/>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扣分</w:t>
            </w:r>
            <w:r/>
          </w:p>
        </w:tc>
      </w:tr>
      <w:tr>
        <w:trPr>
          <w:cantSplit/>
          <w:jc w:val="center"/>
          <w:trHeight w:val="850"/>
        </w:trPr>
        <w:tc>
          <w:tcPr>
            <w:tcW w:w="714" w:type="dxa"/>
            <w:vAlign w:val="center"/>
            <w:vMerge w:val="restart"/>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卫生</w:t>
            </w:r>
            <w:r/>
          </w:p>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保洁</w:t>
            </w:r>
            <w:r/>
          </w:p>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restart"/>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w:t>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1、花坛、树池、绿地内无白色垃圾、落叶、建筑垃圾；水面无漂浮物等。</w:t>
            </w:r>
            <w:r/>
          </w:p>
        </w:tc>
        <w:tc>
          <w:tcPr>
            <w:gridSpan w:val="2"/>
            <w:tcW w:w="3686" w:type="dxa"/>
            <w:vAlign w:val="center"/>
            <w:vMerge w:val="restart"/>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发现有陈旧垃圾、杂物扣2分/处；发现有卫生死角扣5分/处；发现园林设施及水体不整洁扣1分/处；垃圾当天不及时清运扣2分。</w:t>
            </w:r>
            <w:r/>
          </w:p>
        </w:tc>
        <w:tc>
          <w:tcPr>
            <w:tcW w:w="708" w:type="dxa"/>
            <w:vAlign w:val="center"/>
            <w:vMerge w:val="restart"/>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560"/>
        </w:trPr>
        <w:tc>
          <w:tcPr>
            <w:tcW w:w="714" w:type="dxa"/>
            <w:vAlign w:val="center"/>
            <w:vMerge w:val="continue"/>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2、园林设施整洁卫生。</w:t>
            </w:r>
            <w:r/>
          </w:p>
        </w:tc>
        <w:tc>
          <w:tcPr>
            <w:gridSpan w:val="2"/>
            <w:tcW w:w="3686"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24"/>
        </w:trPr>
        <w:tc>
          <w:tcPr>
            <w:tcW w:w="714" w:type="dxa"/>
            <w:vAlign w:val="center"/>
            <w:vMerge w:val="continue"/>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3、生产垃圾日产日清，重点地段随产随清。</w:t>
            </w:r>
            <w:r/>
          </w:p>
        </w:tc>
        <w:tc>
          <w:tcPr>
            <w:gridSpan w:val="2"/>
            <w:tcW w:w="3686"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714" w:type="dxa"/>
            <w:vAlign w:val="center"/>
            <w:vMerge w:val="restart"/>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草坪</w:t>
            </w:r>
            <w:r/>
          </w:p>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养护</w:t>
            </w:r>
            <w:r/>
          </w:p>
        </w:tc>
        <w:tc>
          <w:tcPr>
            <w:tcW w:w="794" w:type="dxa"/>
            <w:vAlign w:val="center"/>
            <w:vMerge w:val="restart"/>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1、生长期长势好，草坪绿期长，抗旱浇水和雨后排水及时，无退化现象。</w:t>
            </w:r>
            <w:r/>
          </w:p>
        </w:tc>
        <w:tc>
          <w:tcPr>
            <w:gridSpan w:val="2"/>
            <w:tcW w:w="3686" w:type="dxa"/>
            <w:vAlign w:val="center"/>
            <w:vMerge w:val="restart"/>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未及时做好浇水、排水工作致草坪生长不良扣1分/处；修剪不合格每平方扣1分；病虫害防治不力造成危害影响景观的每平方扣1分；杂草明显、界线不清扣1分/处</w:t>
            </w:r>
            <w:r/>
          </w:p>
        </w:tc>
        <w:tc>
          <w:tcPr>
            <w:tcW w:w="708" w:type="dxa"/>
            <w:vAlign w:val="center"/>
            <w:vMerge w:val="restart"/>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1134"/>
        </w:trPr>
        <w:tc>
          <w:tcPr>
            <w:tcW w:w="714" w:type="dxa"/>
            <w:vAlign w:val="center"/>
            <w:vMerge w:val="continue"/>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2、修剪平整，冬绿型草坪高度不超过10厘米，夏绿型草坪高度不超过6厘米，休眠期前作较低修剪。</w:t>
            </w:r>
            <w:r/>
          </w:p>
        </w:tc>
        <w:tc>
          <w:tcPr>
            <w:gridSpan w:val="2"/>
            <w:tcW w:w="3686"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24"/>
        </w:trPr>
        <w:tc>
          <w:tcPr>
            <w:tcW w:w="714" w:type="dxa"/>
            <w:vAlign w:val="center"/>
            <w:vMerge w:val="continue"/>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3、草坪无病虫害，无空秃，有一定厚度，草根不裸露。</w:t>
            </w:r>
            <w:r/>
          </w:p>
        </w:tc>
        <w:tc>
          <w:tcPr>
            <w:gridSpan w:val="2"/>
            <w:tcW w:w="3686"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24"/>
        </w:trPr>
        <w:tc>
          <w:tcPr>
            <w:tcW w:w="714" w:type="dxa"/>
            <w:vAlign w:val="center"/>
            <w:vMerge w:val="continue"/>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4、无杂草，与绿篱色块、地被之间界线清晰。</w:t>
            </w:r>
            <w:r/>
          </w:p>
        </w:tc>
        <w:tc>
          <w:tcPr>
            <w:gridSpan w:val="2"/>
            <w:tcW w:w="3686"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714" w:type="dxa"/>
            <w:vAlign w:val="center"/>
            <w:vMerge w:val="restart"/>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乔灌木</w:t>
            </w:r>
            <w:r/>
          </w:p>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养护</w:t>
            </w:r>
            <w:r/>
          </w:p>
        </w:tc>
        <w:tc>
          <w:tcPr>
            <w:tcW w:w="794" w:type="dxa"/>
            <w:vAlign w:val="center"/>
            <w:vMerge w:val="restart"/>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w:t>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1、树木生长正常，无死树、断枝及明显枯死枝，无倾斜、歪倒现象，绿篱色块基本无空缺。</w:t>
            </w:r>
            <w:r/>
          </w:p>
        </w:tc>
        <w:tc>
          <w:tcPr>
            <w:gridSpan w:val="2"/>
            <w:tcW w:w="3686" w:type="dxa"/>
            <w:vAlign w:val="center"/>
            <w:vMerge w:val="restart"/>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管护不到位，未及时做好浇水、排水工作致苗木死亡的扣5分/处；歪斜树不及时扶正、死树、枯枝、断枝不及时处理扣1分/株。修剪、清理不及时及修剪手法过重扣1分/处；绿篱色块成片死亡未及时补缺到位扣1分/处。出现病虫害症状，防治不力的扣1分/次，造成严重危害的扣2分/次，造成一定范围植株死亡的扣5分/次。</w:t>
            </w:r>
            <w:r/>
          </w:p>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发现明显杂草、杂树扣1分/处。</w:t>
            </w:r>
            <w:r/>
          </w:p>
        </w:tc>
        <w:tc>
          <w:tcPr>
            <w:tcW w:w="708" w:type="dxa"/>
            <w:vAlign w:val="center"/>
            <w:vMerge w:val="restart"/>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1077"/>
        </w:trPr>
        <w:tc>
          <w:tcPr>
            <w:tcW w:w="714" w:type="dxa"/>
            <w:vAlign w:val="center"/>
            <w:vMerge w:val="continue"/>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2、树木的修剪符合景观观赏要求，乔木根部无萌孽枝，绿篱、色块修剪及时到位，垂直绿化牵引、绑扎到位。</w:t>
            </w:r>
            <w:r/>
          </w:p>
        </w:tc>
        <w:tc>
          <w:tcPr>
            <w:gridSpan w:val="2"/>
            <w:tcW w:w="3686"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714" w:type="dxa"/>
            <w:vAlign w:val="center"/>
            <w:vMerge w:val="continue"/>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3、树木病虫害防治及时、有效，蛀干害虫&lt;3%,食叶性害虫&lt;5%,刺吸性害虫&lt;10%。</w:t>
            </w:r>
            <w:r/>
          </w:p>
        </w:tc>
        <w:tc>
          <w:tcPr>
            <w:gridSpan w:val="2"/>
            <w:tcW w:w="3686"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ind w:left="141" w:hanging="140"/>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714" w:type="dxa"/>
            <w:vAlign w:val="center"/>
            <w:vMerge w:val="continue"/>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4、绿地内无大型杂草、无缠绕性、攀缘性杂草，无乱牵乱挂现象，杂树、树桩清除及时。</w:t>
            </w:r>
            <w:r/>
          </w:p>
        </w:tc>
        <w:tc>
          <w:tcPr>
            <w:gridSpan w:val="2"/>
            <w:tcW w:w="3686"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1077"/>
        </w:trPr>
        <w:tc>
          <w:tcPr>
            <w:tcW w:w="714" w:type="dxa"/>
            <w:vAlign w:val="center"/>
            <w:vMerge w:val="restart"/>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设施</w:t>
            </w:r>
            <w:r/>
          </w:p>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维护</w:t>
            </w:r>
            <w:r/>
          </w:p>
        </w:tc>
        <w:tc>
          <w:tcPr>
            <w:tcW w:w="794" w:type="dxa"/>
            <w:vAlign w:val="center"/>
            <w:vMerge w:val="restart"/>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1、建筑小品、辅助设施和标志标牌等完好，无人为损坏或遗失，如有缺损及时上报并按原貌修复。</w:t>
            </w:r>
            <w:r/>
          </w:p>
        </w:tc>
        <w:tc>
          <w:tcPr>
            <w:gridSpan w:val="2"/>
            <w:tcW w:w="3686" w:type="dxa"/>
            <w:vAlign w:val="center"/>
            <w:vMerge w:val="restart"/>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设施破损未能及时上报或未按要求恢复的扣2分/件次，每拖垃1天扣1分；乱张贴、乱涂写每发现1处扣1分。</w:t>
            </w:r>
            <w:r/>
          </w:p>
        </w:tc>
        <w:tc>
          <w:tcPr>
            <w:tcW w:w="708" w:type="dxa"/>
            <w:vAlign w:val="center"/>
            <w:vMerge w:val="restart"/>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597"/>
        </w:trPr>
        <w:tc>
          <w:tcPr>
            <w:tcW w:w="714" w:type="dxa"/>
            <w:vAlign w:val="center"/>
            <w:vMerge w:val="continue"/>
            <w:textDirection w:val="lrTb"/>
            <w:noWrap w:val="false"/>
          </w:tcPr>
          <w:p>
            <w:pPr>
              <w:jc w:val="left"/>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94"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2、定期清洗，无灰尘污渍，无乱张贴、乱涂写现象。</w:t>
            </w:r>
            <w:r/>
          </w:p>
        </w:tc>
        <w:tc>
          <w:tcPr>
            <w:gridSpan w:val="2"/>
            <w:tcW w:w="3686"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714" w:type="dxa"/>
            <w:vAlign w:val="center"/>
            <w:vMerge w:val="restart"/>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绿地</w:t>
            </w:r>
            <w:r/>
          </w:p>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秩序</w:t>
            </w:r>
            <w:r/>
          </w:p>
        </w:tc>
        <w:tc>
          <w:tcPr>
            <w:tcW w:w="794" w:type="dxa"/>
            <w:vAlign w:val="center"/>
            <w:vMerge w:val="restart"/>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1、绿地上有杂物堆放、乱停车、乱披挂、乱设摊、乱晾晒、乱焚烧生产垃圾的现象。</w:t>
            </w:r>
            <w:r/>
          </w:p>
        </w:tc>
        <w:tc>
          <w:tcPr>
            <w:gridSpan w:val="2"/>
            <w:tcW w:w="3686" w:type="dxa"/>
            <w:vAlign w:val="center"/>
            <w:vMerge w:val="restart"/>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发现一辆扣1分，管养人员自己的车辆扣2分/辆,杂物堆放、乱披披挂、乱晾晒扣1分/处，乱设置扣2分/处，乱焚烧生产垃圾扣3分/处，扣完为止。绿地侵占、破坏设施未发现制止或发现未汇报的扣2分/次。</w:t>
            </w:r>
            <w:r/>
          </w:p>
        </w:tc>
        <w:tc>
          <w:tcPr>
            <w:tcW w:w="708" w:type="dxa"/>
            <w:vAlign w:val="center"/>
            <w:vMerge w:val="restart"/>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714" w:type="dxa"/>
            <w:vAlign w:val="center"/>
            <w:vMerge w:val="continue"/>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2、发现绿地侵占、偷盗苗木、破坏设施等现象，要立即制止，同时第一时间与甲方联系并汇报。</w:t>
            </w:r>
            <w:r/>
          </w:p>
        </w:tc>
        <w:tc>
          <w:tcPr>
            <w:gridSpan w:val="2"/>
            <w:tcW w:w="3686"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2438"/>
        </w:trPr>
        <w:tc>
          <w:tcPr>
            <w:tcW w:w="714" w:type="dxa"/>
            <w:vAlign w:val="center"/>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台帐记录</w:t>
            </w:r>
            <w:r/>
          </w:p>
        </w:tc>
        <w:tc>
          <w:tcPr>
            <w:tcW w:w="794"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1、提供当月考勤情况记录表、管理工作小结及次月工作计划安排。</w:t>
            </w:r>
            <w:r/>
          </w:p>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2、及时做好各类灾害性天气的应急预案。</w:t>
            </w:r>
            <w:r/>
          </w:p>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3、做好每月安全例会和文明作业的台帐资料。</w:t>
            </w:r>
            <w:r/>
          </w:p>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4、提供人员工资福利发放单（复印件）。</w:t>
            </w:r>
            <w:r/>
          </w:p>
        </w:tc>
        <w:tc>
          <w:tcPr>
            <w:gridSpan w:val="2"/>
            <w:tcW w:w="3686"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未按要求完成上交的，每缺一项扣2分</w:t>
            </w:r>
            <w:r/>
          </w:p>
        </w:tc>
        <w:tc>
          <w:tcPr>
            <w:tcW w:w="708" w:type="dxa"/>
            <w:vAlign w:val="center"/>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714" w:type="dxa"/>
            <w:vAlign w:val="center"/>
            <w:vMerge w:val="restart"/>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其他</w:t>
            </w:r>
            <w:r/>
          </w:p>
        </w:tc>
        <w:tc>
          <w:tcPr>
            <w:tcW w:w="794" w:type="dxa"/>
            <w:vAlign w:val="center"/>
            <w:vMerge w:val="restart"/>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1、上岗人员符合管养绿地要求，人员齐全，年龄符合规定。定职定岗，按规定着标志服装。</w:t>
            </w:r>
            <w:r/>
          </w:p>
        </w:tc>
        <w:tc>
          <w:tcPr>
            <w:gridSpan w:val="2"/>
            <w:tcW w:w="3686" w:type="dxa"/>
            <w:vAlign w:val="center"/>
            <w:vMerge w:val="restart"/>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岗人员有缺少或不符合要求扣5分/人，聚众聊天、串岗离岗发现1人扣1分；不着标志服装,每发现1人扣1分。未按作业安全操作规程进行登高、机械操作的发现一次扣1分。不服从甲方管理，未能按要求完成任务的一次扣2分。</w:t>
            </w:r>
            <w:r/>
          </w:p>
        </w:tc>
        <w:tc>
          <w:tcPr>
            <w:tcW w:w="708" w:type="dxa"/>
            <w:vAlign w:val="center"/>
            <w:vMerge w:val="restart"/>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94"/>
        </w:trPr>
        <w:tc>
          <w:tcPr>
            <w:tcW w:w="714" w:type="dxa"/>
            <w:vAlign w:val="center"/>
            <w:vMerge w:val="continue"/>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2、安全要求，按绿化作业安全操作规程执行。</w:t>
            </w:r>
            <w:r/>
          </w:p>
        </w:tc>
        <w:tc>
          <w:tcPr>
            <w:gridSpan w:val="2"/>
            <w:tcW w:w="3686"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705"/>
        </w:trPr>
        <w:tc>
          <w:tcPr>
            <w:tcW w:w="714" w:type="dxa"/>
            <w:vAlign w:val="center"/>
            <w:vMerge w:val="continue"/>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3、服从甲方统一管理,完成甲方安排的各项任务。</w:t>
            </w:r>
            <w:r/>
          </w:p>
        </w:tc>
        <w:tc>
          <w:tcPr>
            <w:gridSpan w:val="2"/>
            <w:tcW w:w="3686" w:type="dxa"/>
            <w:vAlign w:val="center"/>
            <w:vMerge w:val="continue"/>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96"/>
        </w:trPr>
        <w:tc>
          <w:tcPr>
            <w:tcW w:w="714" w:type="dxa"/>
            <w:vAlign w:val="center"/>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合计</w:t>
            </w:r>
            <w:r/>
          </w:p>
        </w:tc>
        <w:tc>
          <w:tcPr>
            <w:tcW w:w="794"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w:t>
            </w:r>
            <w:r/>
          </w:p>
        </w:tc>
        <w:tc>
          <w:tcPr>
            <w:tcW w:w="360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68"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18"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得分</w:t>
            </w:r>
            <w:r/>
          </w:p>
        </w:tc>
        <w:tc>
          <w:tcPr>
            <w:tcW w:w="708" w:type="dxa"/>
            <w:vAlign w:val="top"/>
            <w:textDirection w:val="lrTb"/>
            <w:noWrap w:val="false"/>
          </w:tcPr>
          <w:p>
            <w:pPr>
              <w:jc w:val="left"/>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1401"/>
        </w:trPr>
        <w:tc>
          <w:tcPr>
            <w:tcW w:w="714" w:type="dxa"/>
            <w:vAlign w:val="center"/>
            <w:textDirection w:val="lrTb"/>
            <w:noWrap w:val="false"/>
          </w:tcPr>
          <w:p>
            <w:pPr>
              <w:jc w:val="center"/>
              <w:spacing w:line="24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特别</w:t>
            </w:r>
            <w:r/>
          </w:p>
          <w:p>
            <w:pPr>
              <w:jc w:val="center"/>
              <w:spacing w:line="240" w:lineRule="auto"/>
              <w:rPr>
                <w:rFonts w:hint="eastAsia" w:ascii="宋体" w:hAnsi="宋体" w:eastAsia="宋体" w:cs="宋体"/>
                <w:color w:val="000000"/>
                <w:szCs w:val="21"/>
                <w:highlight w:val="none"/>
              </w:rPr>
            </w:pPr>
            <w:r>
              <w:rPr>
                <w:rFonts w:hint="eastAsia" w:ascii="宋体" w:hAnsi="宋体" w:eastAsia="宋体" w:cs="宋体"/>
                <w:b/>
                <w:color w:val="000000"/>
                <w:sz w:val="24"/>
                <w:highlight w:val="none"/>
              </w:rPr>
              <w:t xml:space="preserve">条款</w:t>
            </w:r>
            <w:r/>
          </w:p>
        </w:tc>
        <w:tc>
          <w:tcPr>
            <w:gridSpan w:val="4"/>
            <w:tcW w:w="8080" w:type="dxa"/>
            <w:vAlign w:val="center"/>
            <w:textDirection w:val="lrTb"/>
            <w:noWrap w:val="false"/>
          </w:tcPr>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被媒体曝光或受到各级领导通报批评的，发生一次扣5分；</w:t>
            </w:r>
            <w:r/>
          </w:p>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各部门发现的问题或者群众来信来访未能及时整改处理或回复处理不及时、不真实的，每次扣5分；</w:t>
            </w:r>
            <w:r/>
          </w:p>
          <w:p>
            <w:pP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城市长效管理，常州市及溧阳市考评因绿地管理出现扣分的，直接按其考评扣分的双倍扣除。</w:t>
            </w:r>
            <w:r/>
          </w:p>
        </w:tc>
        <w:tc>
          <w:tcPr>
            <w:tcW w:w="708" w:type="dxa"/>
            <w:vAlign w:val="top"/>
            <w:textDirection w:val="lrTb"/>
            <w:noWrap w:val="false"/>
          </w:tcPr>
          <w:p>
            <w:pPr>
              <w:jc w:val="left"/>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spacing w:line="19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19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说明：1、考核细则实施扣分，每一项扣分以扣完本项目分值为止。</w:t>
      </w:r>
      <w:r/>
    </w:p>
    <w:p>
      <w:pPr>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24"/>
          <w:highlight w:val="none"/>
        </w:rPr>
        <w:t xml:space="preserve">      2、日常考核时，对于人员上岗、着装、日常保洁、病虫害以及一些直接造成损害的问题直接扣分；其他问题按要求整改处理，在规定期限未能处理到位的进行扣分。月考核中，发现问题直接扣分。</w:t>
      </w:r>
      <w:r/>
    </w:p>
    <w:p>
      <w:pPr>
        <w:pStyle w:val="1020"/>
        <w:ind w:left="0" w:firstLine="0"/>
        <w:spacing w:line="360" w:lineRule="auto"/>
        <w:rPr>
          <w:rFonts w:hint="eastAsia"/>
          <w:color w:val="000000"/>
          <w:highlight w:val="none"/>
        </w:rPr>
      </w:pPr>
      <w:r>
        <w:rPr>
          <w:rFonts w:hint="eastAsia"/>
          <w:color w:val="000000"/>
          <w:highlight w:val="none"/>
        </w:rPr>
      </w:r>
      <w:r/>
    </w:p>
    <w:p>
      <w:pPr>
        <w:jc w:val="both"/>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br w:type="page" w:clear="all"/>
      </w:r>
      <w:r>
        <w:rPr>
          <w:rFonts w:hint="eastAsia" w:ascii="Times New Roman" w:hAnsi="Times New Roman" w:eastAsia="宋体" w:cs="Times New Roman"/>
          <w:b/>
          <w:color w:val="000000"/>
          <w:sz w:val="28"/>
          <w:szCs w:val="28"/>
          <w:highlight w:val="none"/>
          <w:lang w:val="en-US" w:eastAsia="zh-CN"/>
        </w:rPr>
        <w:t xml:space="preserve">5.2绿化养护管理奖惩措施</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1、绿化管养综合评分每扣一分，扣除相应管理经费100元，上不封顶。</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2、绿化管养考核由日常考核巡查和月考核组成，由合同甲方组织实施。</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3、综合评分=100-日常考核扣分×70%-月度考核扣分×30%－特别条款扣分。</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4、同一路段暴露出的同一问题甲方电话通知乙方两次后仍未整改到位，甲方将开出“整改通知书”，并在当月综合评分中扣除5分。</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5、日常检查过程中，出现下列情况时，除按规定扣分外，还需直接扣除养护经费：</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①、现场负责人应按时按规定参加甲方组织的各项培训、会议；无故缺席的一次扣500元；</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②、按合同规定的养护人员人数到岗到位，不足员时，按每人每天200元扣除；</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③、处于失管状态的地块，甲方有权根据失管的严重程度，在扣分的基础上，直接扣除当月的养护费用；</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6、该措施中所指的扣款是每月考核综合评分扣款，管养单位在结算资金时结清。</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7、如不当养护造成绿化损失或严重社会影响，如草坪杂化、乔木修剪过重、地被花境长势衰退或严重不良等由管养单位负责更新，费用由管养单位自行承担。</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应急管理：养护单位必须制定灾害性天气应急预案，建立一支稳定的应急抢险队伍，并配备必须的应急设备，确保出现灾害性天气时，能够第一时间投入抢险救灾灾，并服从甲方另行安排的其它范围内的应急抢险任务。</w:t>
      </w:r>
      <w:r/>
    </w:p>
    <w:p>
      <w:pP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安全责任事故等风险问题：养护期内，养护单位须加强安全生产管理，积极主动采取防范措施，解除安全隐患，同时为养护工人购买保险等方式来规避风险。如养护标段中发生安全事故、人员伤亡事件，由养护单位负责处理解决，处理过程中发生的费用（包括赔偿费用）由养护单位承担。</w:t>
      </w:r>
      <w:r/>
    </w:p>
    <w:p>
      <w:pPr>
        <w:pStyle w:val="804"/>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04"/>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276" w:lineRule="auto"/>
        <w:rPr>
          <w:rFonts w:ascii="宋体" w:hAnsi="宋体"/>
          <w:b/>
          <w:bCs/>
          <w:color w:val="000000"/>
          <w:sz w:val="24"/>
          <w:highlight w:val="none"/>
        </w:rPr>
      </w:pPr>
      <w:r>
        <w:rPr>
          <w:rFonts w:hint="eastAsia" w:ascii="宋体" w:hAnsi="宋体"/>
          <w:b/>
          <w:bCs/>
          <w:color w:val="000000"/>
          <w:sz w:val="24"/>
          <w:highlight w:val="none"/>
          <w:lang w:val="en-US" w:eastAsia="zh-CN"/>
        </w:rPr>
        <w:t xml:space="preserve">六</w:t>
      </w:r>
      <w:r>
        <w:rPr>
          <w:rFonts w:hint="eastAsia" w:ascii="宋体" w:hAnsi="宋体"/>
          <w:b/>
          <w:bCs/>
          <w:color w:val="000000"/>
          <w:sz w:val="24"/>
          <w:highlight w:val="none"/>
        </w:rPr>
        <w:t xml:space="preserve">、养护范围及面积</w:t>
      </w:r>
      <w:r/>
    </w:p>
    <w:p>
      <w:pPr>
        <w:jc w:val="left"/>
        <w:spacing w:line="360" w:lineRule="auto"/>
        <w:rPr>
          <w:rFonts w:hint="eastAsia" w:ascii="宋体" w:hAnsi="宋体"/>
          <w:b w:val="0"/>
          <w:bCs w:val="0"/>
          <w:color w:val="000000"/>
          <w:sz w:val="24"/>
          <w:highlight w:val="none"/>
          <w:lang w:eastAsia="zh-CN"/>
        </w:rPr>
      </w:pPr>
      <w:r>
        <w:rPr>
          <w:rFonts w:hint="eastAsia" w:ascii="宋体" w:hAnsi="宋体"/>
          <w:b w:val="0"/>
          <w:bCs w:val="0"/>
          <w:color w:val="000000"/>
          <w:sz w:val="24"/>
          <w:highlight w:val="none"/>
          <w:lang w:val="en-US" w:eastAsia="zh-CN"/>
        </w:rPr>
        <w:t xml:space="preserve">1</w:t>
      </w:r>
      <w:r>
        <w:rPr>
          <w:rFonts w:hint="eastAsia" w:ascii="宋体" w:hAnsi="宋体"/>
          <w:b w:val="0"/>
          <w:bCs w:val="0"/>
          <w:color w:val="000000"/>
          <w:sz w:val="24"/>
          <w:highlight w:val="none"/>
        </w:rPr>
        <w:t xml:space="preserve">、 范围</w:t>
      </w:r>
      <w:r>
        <w:rPr>
          <w:rFonts w:hint="eastAsia" w:ascii="宋体" w:hAnsi="宋体"/>
          <w:b w:val="0"/>
          <w:bCs w:val="0"/>
          <w:color w:val="000000"/>
          <w:sz w:val="24"/>
          <w:highlight w:val="none"/>
          <w:lang w:eastAsia="zh-CN"/>
        </w:rPr>
        <w:t xml:space="preserve">：</w:t>
      </w:r>
      <w:r>
        <w:rPr>
          <w:rFonts w:hint="eastAsia" w:ascii="宋体" w:hAnsi="宋体"/>
          <w:b w:val="0"/>
          <w:bCs w:val="0"/>
          <w:color w:val="000000"/>
          <w:sz w:val="24"/>
          <w:highlight w:val="none"/>
        </w:rPr>
        <w:t xml:space="preserve">镇区各道路</w:t>
      </w:r>
      <w:r>
        <w:rPr>
          <w:rFonts w:hint="eastAsia" w:ascii="宋体" w:hAnsi="宋体"/>
          <w:b w:val="0"/>
          <w:bCs w:val="0"/>
          <w:color w:val="000000"/>
          <w:sz w:val="24"/>
          <w:highlight w:val="none"/>
          <w:lang w:val="en-US" w:eastAsia="zh-CN"/>
        </w:rPr>
        <w:t xml:space="preserve">地被</w:t>
      </w:r>
      <w:r>
        <w:rPr>
          <w:rFonts w:hint="eastAsia" w:ascii="宋体" w:hAnsi="宋体"/>
          <w:b w:val="0"/>
          <w:bCs w:val="0"/>
          <w:color w:val="000000"/>
          <w:sz w:val="24"/>
          <w:highlight w:val="none"/>
        </w:rPr>
        <w:t xml:space="preserve">、</w:t>
      </w:r>
      <w:r>
        <w:rPr>
          <w:rFonts w:hint="eastAsia" w:ascii="宋体" w:hAnsi="宋体"/>
          <w:b w:val="0"/>
          <w:bCs w:val="0"/>
          <w:color w:val="000000"/>
          <w:sz w:val="24"/>
          <w:highlight w:val="none"/>
          <w:lang w:val="en-US" w:eastAsia="zh-CN"/>
        </w:rPr>
        <w:t xml:space="preserve">乔灌木</w:t>
      </w:r>
      <w:r>
        <w:rPr>
          <w:rFonts w:hint="eastAsia" w:ascii="宋体" w:hAnsi="宋体"/>
          <w:b w:val="0"/>
          <w:bCs w:val="0"/>
          <w:color w:val="000000"/>
          <w:sz w:val="24"/>
          <w:highlight w:val="none"/>
          <w:lang w:eastAsia="zh-CN"/>
        </w:rPr>
        <w:t xml:space="preserve">、</w:t>
      </w:r>
      <w:r>
        <w:rPr>
          <w:rFonts w:hint="eastAsia" w:ascii="宋体" w:hAnsi="宋体"/>
          <w:b w:val="0"/>
          <w:bCs w:val="0"/>
          <w:color w:val="000000"/>
          <w:sz w:val="24"/>
          <w:highlight w:val="none"/>
          <w:lang w:val="en-US" w:eastAsia="zh-CN"/>
        </w:rPr>
        <w:t xml:space="preserve">色块、球类</w:t>
      </w:r>
      <w:r>
        <w:rPr>
          <w:rFonts w:hint="eastAsia" w:ascii="宋体" w:hAnsi="宋体"/>
          <w:b w:val="0"/>
          <w:bCs w:val="0"/>
          <w:color w:val="000000"/>
          <w:sz w:val="24"/>
          <w:highlight w:val="none"/>
        </w:rPr>
        <w:t xml:space="preserve">等绿化区域</w:t>
      </w:r>
      <w:r>
        <w:rPr>
          <w:rFonts w:hint="eastAsia" w:ascii="宋体" w:hAnsi="宋体"/>
          <w:b w:val="0"/>
          <w:bCs w:val="0"/>
          <w:color w:val="000000"/>
          <w:sz w:val="24"/>
          <w:highlight w:val="none"/>
          <w:lang w:eastAsia="zh-CN"/>
        </w:rPr>
        <w:t xml:space="preserve">；</w:t>
      </w:r>
      <w:r/>
    </w:p>
    <w:p>
      <w:pPr>
        <w:jc w:val="left"/>
        <w:spacing w:line="360" w:lineRule="auto"/>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2</w:t>
      </w:r>
      <w:r>
        <w:rPr>
          <w:rFonts w:hint="eastAsia" w:ascii="宋体" w:hAnsi="宋体"/>
          <w:b w:val="0"/>
          <w:bCs w:val="0"/>
          <w:color w:val="000000"/>
          <w:sz w:val="24"/>
          <w:highlight w:val="none"/>
        </w:rPr>
        <w:t xml:space="preserve">、镇区</w:t>
      </w:r>
      <w:r>
        <w:rPr>
          <w:rFonts w:hint="eastAsia" w:ascii="宋体" w:hAnsi="宋体"/>
          <w:b w:val="0"/>
          <w:bCs w:val="0"/>
          <w:color w:val="000000"/>
          <w:sz w:val="24"/>
          <w:highlight w:val="none"/>
          <w:lang w:val="en-US" w:eastAsia="zh-CN"/>
        </w:rPr>
        <w:t xml:space="preserve">草地</w:t>
      </w:r>
      <w:r>
        <w:rPr>
          <w:rFonts w:hint="eastAsia" w:ascii="宋体" w:hAnsi="宋体"/>
          <w:b w:val="0"/>
          <w:bCs w:val="0"/>
          <w:color w:val="000000"/>
          <w:sz w:val="24"/>
          <w:highlight w:val="none"/>
        </w:rPr>
        <w:t xml:space="preserve">面积:</w:t>
      </w:r>
      <w:r>
        <w:rPr>
          <w:rFonts w:hint="eastAsia" w:ascii="宋体" w:hAnsi="宋体"/>
          <w:b w:val="0"/>
          <w:bCs w:val="0"/>
          <w:color w:val="000000"/>
          <w:sz w:val="24"/>
          <w:highlight w:val="none"/>
          <w:lang w:val="en-US" w:eastAsia="zh-CN"/>
        </w:rPr>
        <w:t xml:space="preserve">183233.7m2</w:t>
      </w:r>
      <w:r>
        <w:rPr>
          <w:rFonts w:hint="eastAsia" w:ascii="宋体" w:hAnsi="宋体"/>
          <w:b w:val="0"/>
          <w:bCs w:val="0"/>
          <w:color w:val="000000"/>
          <w:sz w:val="24"/>
          <w:highlight w:val="none"/>
          <w:lang w:eastAsia="zh-CN"/>
        </w:rPr>
        <w:t xml:space="preserve">、</w:t>
      </w:r>
      <w:r>
        <w:rPr>
          <w:rFonts w:hint="eastAsia" w:ascii="宋体" w:hAnsi="宋体"/>
          <w:b w:val="0"/>
          <w:bCs w:val="0"/>
          <w:color w:val="000000"/>
          <w:sz w:val="24"/>
          <w:highlight w:val="none"/>
          <w:lang w:val="en-US" w:eastAsia="zh-CN"/>
        </w:rPr>
        <w:t xml:space="preserve">色块55123.1m2</w:t>
      </w:r>
      <w:r>
        <w:rPr>
          <w:rFonts w:hint="eastAsia" w:ascii="宋体" w:hAnsi="宋体"/>
          <w:b w:val="0"/>
          <w:bCs w:val="0"/>
          <w:color w:val="000000"/>
          <w:sz w:val="24"/>
          <w:highlight w:val="none"/>
          <w:lang w:eastAsia="zh-CN"/>
        </w:rPr>
        <w:t xml:space="preserve">、</w:t>
      </w:r>
      <w:r>
        <w:rPr>
          <w:rFonts w:hint="eastAsia" w:ascii="宋体" w:hAnsi="宋体"/>
          <w:b w:val="0"/>
          <w:bCs w:val="0"/>
          <w:color w:val="000000"/>
          <w:sz w:val="24"/>
          <w:highlight w:val="none"/>
          <w:lang w:val="en-US" w:eastAsia="zh-CN"/>
        </w:rPr>
        <w:t xml:space="preserve">球类1353m2</w:t>
      </w:r>
      <w:r>
        <w:rPr>
          <w:rFonts w:hint="eastAsia" w:ascii="宋体" w:hAnsi="宋体"/>
          <w:b w:val="0"/>
          <w:bCs w:val="0"/>
          <w:color w:val="000000"/>
          <w:sz w:val="24"/>
          <w:highlight w:val="none"/>
          <w:lang w:eastAsia="zh-CN"/>
        </w:rPr>
        <w:t xml:space="preserve">、</w:t>
      </w:r>
      <w:r>
        <w:rPr>
          <w:rFonts w:hint="eastAsia" w:ascii="宋体" w:hAnsi="宋体"/>
          <w:b w:val="0"/>
          <w:bCs w:val="0"/>
          <w:color w:val="000000"/>
          <w:sz w:val="24"/>
          <w:highlight w:val="none"/>
          <w:lang w:val="en-US" w:eastAsia="zh-CN"/>
        </w:rPr>
        <w:t xml:space="preserve">大乔木4605株、小乔木220株。</w:t>
      </w:r>
      <w:r/>
    </w:p>
    <w:p>
      <w:pPr>
        <w:pStyle w:val="1020"/>
        <w:ind w:left="0" w:firstLine="0"/>
        <w:rPr>
          <w:b w:val="0"/>
          <w:bCs w:val="0"/>
          <w:color w:val="000000"/>
          <w:highlight w:val="none"/>
          <w:lang w:val="en-US" w:eastAsia="zh-CN"/>
        </w:rPr>
      </w:pPr>
      <w:r>
        <w:rPr>
          <w:rFonts w:hint="eastAsia" w:ascii="宋体" w:hAnsi="宋体"/>
          <w:b w:val="0"/>
          <w:bCs w:val="0"/>
          <w:color w:val="000000"/>
          <w:sz w:val="24"/>
          <w:highlight w:val="none"/>
          <w:lang w:val="en-US" w:eastAsia="zh-CN"/>
        </w:rPr>
        <w:t xml:space="preserve">七、其余要求</w:t>
      </w:r>
      <w:r/>
    </w:p>
    <w:p>
      <w:pPr>
        <w:jc w:val="left"/>
        <w:spacing w:line="360"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★1、一旦中标，中标人必须按要求派驻人员，且不得低于核定管养人数要求，否则按无效投标文件处理。</w:t>
      </w:r>
      <w:r/>
    </w:p>
    <w:p>
      <w:pPr>
        <w:jc w:val="left"/>
        <w:spacing w:line="360"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2、在进行劳动力测算时，投标人根据自身经验及现场情况等因素自行配置，但不得低于核定管养人数要求，投标人需在投标报价中充分考虑该因素，一旦中标，投标报价不随人员配置数量增加而调整。</w:t>
      </w:r>
      <w:r/>
    </w:p>
    <w:p>
      <w:pPr>
        <w:jc w:val="left"/>
        <w:spacing w:line="360"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3、甲供材料费：根据管养需要，由采购人安排一定量的肥料、园林专用药剂和规定的统一服装标志及雨具，投标人在报价时应将甲供材料费计入投标报价，但不列入甲方管养费用支付。 </w:t>
      </w:r>
      <w:r/>
    </w:p>
    <w:p>
      <w:pPr>
        <w:jc w:val="left"/>
        <w:spacing w:line="360"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应急费：为有效预防暴雪、台风等恶劣天气的影响和绿地设施的安全使用，考虑一部分应急费，用于抢险、设施安全检测，以及迎接各类检查所产生的支出。投标人在报价时应将应急费计入投标报价，但不列入甲方日常管养费中支付，按实际发生情况适当追加。 </w:t>
      </w:r>
      <w:r/>
    </w:p>
    <w:p>
      <w:pPr>
        <w:jc w:val="left"/>
        <w:spacing w:line="360"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5、甲供材料费 4万元/年，应急费4万元/年。</w:t>
      </w:r>
      <w:r/>
    </w:p>
    <w:p>
      <w:pPr>
        <w:rPr>
          <w:color w:val="000000"/>
          <w:highlight w:val="none"/>
          <w:lang w:val="en-US" w:eastAsia="zh-CN"/>
        </w:rPr>
      </w:pPr>
      <w:r>
        <w:rPr>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jc w:val="both"/>
        <w:spacing w:line="360" w:lineRule="auto"/>
        <w:rPr>
          <w:rFonts w:hint="eastAsia" w:ascii="宋体" w:hAnsi="宋体" w:cs="宋体"/>
          <w:b/>
          <w:bCs/>
          <w:color w:val="000000"/>
          <w:szCs w:val="21"/>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cs="宋体"/>
          <w:b/>
          <w:bCs/>
          <w:color w:val="000000"/>
          <w:szCs w:val="21"/>
          <w:highlight w:val="none"/>
        </w:rPr>
      </w:r>
      <w:r/>
    </w:p>
    <w:tbl>
      <w:tblPr>
        <w:tblStyle w:val="781"/>
        <w:tblW w:w="823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857"/>
        <w:gridCol w:w="1592"/>
        <w:gridCol w:w="2976"/>
        <w:gridCol w:w="1807"/>
      </w:tblGrid>
      <w:tr>
        <w:trPr>
          <w:trHeight w:val="408"/>
        </w:trPr>
        <w:tc>
          <w:tcPr>
            <w:gridSpan w:val="4"/>
            <w:shd w:val="clear" w:color="auto" w:fill="auto"/>
            <w:tcBorders>
              <w:top w:val="none" w:color="000000" w:sz="4" w:space="0"/>
              <w:left w:val="none" w:color="000000" w:sz="4" w:space="0"/>
              <w:bottom w:val="none" w:color="000000" w:sz="4" w:space="0"/>
              <w:right w:val="none" w:color="000000" w:sz="4" w:space="0"/>
            </w:tcBorders>
            <w:tcW w:w="8236" w:type="dxa"/>
            <w:vAlign w:val="center"/>
            <w:textDirection w:val="lrTb"/>
            <w:noWrap w:val="false"/>
          </w:tcPr>
          <w:p>
            <w:pPr>
              <w:jc w:val="center"/>
              <w:keepLines w:val="0"/>
              <w:keepNext w:val="0"/>
              <w:widowControl/>
              <w:rPr>
                <w:rFonts w:ascii="楷体" w:hAnsi="楷体" w:eastAsia="楷体" w:cs="楷体"/>
                <w:b/>
                <w:bCs/>
                <w:i w:val="0"/>
                <w:iCs w:val="0"/>
                <w:color w:val="000000"/>
                <w:sz w:val="32"/>
                <w:szCs w:val="32"/>
                <w:u w:val="none"/>
              </w:rPr>
              <w:suppressLineNumbers w:val="0"/>
            </w:pPr>
            <w:r/>
            <w:bookmarkStart w:id="670" w:name="_Toc104818929"/>
            <w:r>
              <w:rPr>
                <w:rFonts w:hint="eastAsia" w:ascii="楷体" w:hAnsi="楷体" w:eastAsia="楷体" w:cs="楷体"/>
                <w:b/>
                <w:bCs/>
                <w:i w:val="0"/>
                <w:iCs w:val="0"/>
                <w:color w:val="000000"/>
                <w:sz w:val="32"/>
                <w:szCs w:val="32"/>
                <w:u w:val="none"/>
                <w:lang w:val="en-US" w:eastAsia="zh-CN" w:bidi="ar"/>
              </w:rPr>
              <w:t xml:space="preserve">镇区绿化养护项目测算表</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核定人数（人）或金额（元）</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测算依据</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说明</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一、配员（人）</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楷体" w:hAnsi="楷体" w:eastAsia="楷体" w:cs="楷体"/>
                <w:i w:val="0"/>
                <w:iCs w:val="0"/>
                <w:color w:val="000000"/>
                <w:sz w:val="18"/>
                <w:szCs w:val="18"/>
                <w:u w:val="none"/>
              </w:rPr>
              <w:suppressLineNumbers w:val="0"/>
            </w:pPr>
            <w:r>
              <w:rPr>
                <w:rFonts w:hint="eastAsia" w:ascii="楷体" w:hAnsi="楷体" w:eastAsia="楷体" w:cs="楷体"/>
                <w:i w:val="0"/>
                <w:iCs w:val="0"/>
                <w:color w:val="000000"/>
                <w:sz w:val="18"/>
                <w:szCs w:val="18"/>
                <w:u w:val="none"/>
                <w:lang w:val="en-US" w:eastAsia="zh-CN" w:bidi="ar"/>
              </w:rPr>
              <w:t xml:space="preserve">镇区范围22人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（1）管理人员</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（2）保洁人员</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（3）驾驶员</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楷体" w:hAnsi="楷体" w:eastAsia="楷体" w:cs="楷体"/>
                <w:i w:val="0"/>
                <w:iCs w:val="0"/>
                <w:color w:val="auto"/>
                <w:sz w:val="24"/>
                <w:szCs w:val="24"/>
                <w:u w:val="none"/>
              </w:rPr>
            </w:pPr>
            <w:r>
              <w:rPr>
                <w:rFonts w:hint="eastAsia" w:ascii="楷体" w:hAnsi="楷体" w:eastAsia="楷体" w:cs="楷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二、营业费用（元）</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b/>
                <w:bCs/>
                <w:i w:val="0"/>
                <w:iCs w:val="0"/>
                <w:color w:val="auto"/>
                <w:sz w:val="24"/>
                <w:szCs w:val="24"/>
                <w:u w:val="none"/>
              </w:rPr>
              <w:suppressLineNumbers w:val="0"/>
            </w:pPr>
            <w:r>
              <w:rPr>
                <w:rFonts w:hint="eastAsia" w:ascii="楷体" w:hAnsi="楷体" w:eastAsia="楷体" w:cs="楷体"/>
                <w:b/>
                <w:bCs/>
                <w:i w:val="0"/>
                <w:iCs w:val="0"/>
                <w:color w:val="auto"/>
                <w:sz w:val="24"/>
                <w:szCs w:val="24"/>
                <w:u w:val="none"/>
                <w:lang w:val="en-US" w:eastAsia="zh-CN" w:bidi="ar"/>
              </w:rPr>
              <w:t xml:space="preserve">908432</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b/>
                <w:bCs/>
                <w:i w:val="0"/>
                <w:iCs w:val="0"/>
                <w:color w:val="auto"/>
                <w:sz w:val="24"/>
                <w:szCs w:val="24"/>
                <w:u w:val="none"/>
              </w:rPr>
              <w:suppressLineNumbers w:val="0"/>
            </w:pPr>
            <w:r>
              <w:rPr>
                <w:rFonts w:hint="eastAsia" w:ascii="楷体" w:hAnsi="楷体" w:eastAsia="楷体" w:cs="楷体"/>
                <w:b/>
                <w:bCs/>
                <w:i w:val="0"/>
                <w:iCs w:val="0"/>
                <w:color w:val="auto"/>
                <w:sz w:val="24"/>
                <w:szCs w:val="24"/>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sz w:val="24"/>
                <w:szCs w:val="24"/>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（1）人工费用(元)</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822832</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①+…+⑥</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①基本工资</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657360</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2490元/人/月</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22人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②高温费</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26400</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1200元/人/年</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22人</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③加班费</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90672</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2490÷21.75×3×11=3778元/人/年</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22人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④福利</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22000</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1000元/人/年</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22人</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⑤人身意外伤害保险</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15400</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700元/人/年</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22人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⑥劳保</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500元/人/年</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22人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（2）工具费</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17600</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800元/人/年</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22人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（3）车辆费用</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68000</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①+…+④</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①洒水车油耗</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48000</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1辆×4000元/辆/月×12月</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②保险费</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10000元/辆/年</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1辆车</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③年审保养费</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5000元/辆/年</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1辆车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④维修费</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5000元/辆/年</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1辆车</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三、成本</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908432</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auto"/>
                <w:sz w:val="24"/>
                <w:szCs w:val="24"/>
                <w:u w:val="none"/>
              </w:rPr>
              <w:suppressLineNumbers w:val="0"/>
            </w:pPr>
            <w:r>
              <w:rPr>
                <w:rFonts w:hint="eastAsia" w:ascii="楷体" w:hAnsi="楷体" w:eastAsia="楷体" w:cs="楷体"/>
                <w:i w:val="0"/>
                <w:iCs w:val="0"/>
                <w:color w:val="auto"/>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四、利润</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五、税费</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54506</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（三+四）×6%</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六、甲供材料费、应急费</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left"/>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七、总价</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1042938</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rPr>
            </w:r>
            <w:r/>
          </w:p>
        </w:tc>
      </w:tr>
    </w:tbl>
    <w:p>
      <w:pPr>
        <w:rPr>
          <w:b/>
          <w:color w:val="000000"/>
          <w:sz w:val="36"/>
          <w:szCs w:val="36"/>
          <w:highlight w:val="none"/>
        </w:rPr>
      </w:pPr>
      <w:r>
        <w:rPr>
          <w:b/>
          <w:color w:val="000000"/>
          <w:sz w:val="36"/>
          <w:szCs w:val="36"/>
          <w:highlight w:val="none"/>
        </w:rPr>
        <w:br w:type="page" w:clear="all"/>
      </w:r>
      <w:r/>
    </w:p>
    <w:p>
      <w:pPr>
        <w:jc w:val="center"/>
        <w:spacing w:line="360" w:lineRule="auto"/>
        <w:rPr>
          <w:b/>
          <w:color w:val="000000"/>
          <w:sz w:val="36"/>
          <w:szCs w:val="36"/>
          <w:highlight w:val="none"/>
        </w:rPr>
        <w:outlineLvl w:val="0"/>
      </w:pPr>
      <w:r>
        <w:rPr>
          <w:b/>
          <w:color w:val="000000"/>
          <w:sz w:val="36"/>
          <w:szCs w:val="36"/>
          <w:highlight w:val="none"/>
        </w:rPr>
        <w:t xml:space="preserve">第五章   合同草案条款</w:t>
      </w:r>
      <w:bookmarkEnd w:id="670"/>
      <w:r/>
      <w:r/>
    </w:p>
    <w:p>
      <w:pPr>
        <w:rPr>
          <w:rFonts w:hint="eastAsia"/>
          <w:color w:val="000000"/>
          <w:sz w:val="24"/>
          <w:szCs w:val="24"/>
          <w:highlight w:val="none"/>
          <w:lang w:eastAsia="zh-CN"/>
        </w:rPr>
      </w:pPr>
      <w:r>
        <w:rPr>
          <w:rFonts w:hint="eastAsia"/>
          <w:color w:val="000000"/>
          <w:sz w:val="24"/>
          <w:szCs w:val="24"/>
          <w:highlight w:val="none"/>
          <w:lang w:eastAsia="zh-CN"/>
        </w:rPr>
      </w:r>
      <w:r/>
    </w:p>
    <w:p>
      <w:pPr>
        <w:jc w:val="center"/>
        <w:rPr>
          <w:rFonts w:hint="eastAsia" w:ascii="方正小标宋简体" w:hAnsi="方正小标宋简体" w:eastAsia="方正小标宋简体" w:cs="方正小标宋简体"/>
          <w:b/>
          <w:color w:val="000000"/>
          <w:sz w:val="44"/>
          <w:szCs w:val="44"/>
          <w:highlight w:val="none"/>
        </w:rPr>
      </w:pPr>
      <w:r>
        <w:rPr>
          <w:rFonts w:hint="eastAsia" w:ascii="方正小标宋简体" w:hAnsi="方正小标宋简体" w:eastAsia="方正小标宋简体" w:cs="方正小标宋简体"/>
          <w:b/>
          <w:color w:val="000000"/>
          <w:sz w:val="44"/>
          <w:szCs w:val="44"/>
          <w:highlight w:val="none"/>
        </w:rPr>
        <w:t xml:space="preserve">绿化养护合同</w:t>
      </w:r>
      <w:r/>
    </w:p>
    <w:p>
      <w:pPr>
        <w:rPr>
          <w:rFonts w:hint="eastAsia" w:ascii="宋体" w:hAnsi="宋体"/>
          <w:color w:val="000000"/>
          <w:sz w:val="28"/>
          <w:szCs w:val="28"/>
          <w:highlight w:val="none"/>
        </w:rPr>
      </w:pPr>
      <w:r>
        <w:rPr>
          <w:rFonts w:hint="eastAsia" w:ascii="宋体" w:hAnsi="宋体"/>
          <w:color w:val="000000"/>
          <w:sz w:val="28"/>
          <w:szCs w:val="28"/>
          <w:highlight w:val="none"/>
        </w:rPr>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甲方（委托单位）： 溧阳市</w:t>
      </w:r>
      <w:r>
        <w:rPr>
          <w:rFonts w:hint="eastAsia" w:ascii="宋体" w:hAnsi="宋体" w:eastAsia="宋体" w:cs="宋体"/>
          <w:color w:val="000000"/>
          <w:sz w:val="24"/>
          <w:szCs w:val="24"/>
          <w:highlight w:val="none"/>
          <w:lang w:eastAsia="zh-CN"/>
        </w:rPr>
        <w:t xml:space="preserve">上黄</w:t>
      </w:r>
      <w:r>
        <w:rPr>
          <w:rFonts w:hint="eastAsia" w:ascii="宋体" w:hAnsi="宋体" w:eastAsia="宋体" w:cs="宋体"/>
          <w:color w:val="000000"/>
          <w:sz w:val="24"/>
          <w:szCs w:val="24"/>
          <w:highlight w:val="none"/>
        </w:rPr>
        <w:t xml:space="preserve">镇人民政府</w:t>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乙方（养护单位）： </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按照《中华人民共和国</w:t>
      </w:r>
      <w:r>
        <w:rPr>
          <w:rFonts w:hint="eastAsia" w:ascii="宋体" w:hAnsi="宋体" w:eastAsia="宋体" w:cs="宋体"/>
          <w:color w:val="000000"/>
          <w:sz w:val="24"/>
          <w:szCs w:val="24"/>
          <w:highlight w:val="none"/>
          <w:lang w:val="en-US" w:eastAsia="zh-CN"/>
        </w:rPr>
        <w:t xml:space="preserve">民法典</w:t>
      </w:r>
      <w:r>
        <w:rPr>
          <w:rFonts w:hint="eastAsia" w:ascii="宋体" w:hAnsi="宋体" w:eastAsia="宋体" w:cs="宋体"/>
          <w:color w:val="000000"/>
          <w:sz w:val="24"/>
          <w:szCs w:val="24"/>
          <w:highlight w:val="none"/>
        </w:rPr>
        <w:t xml:space="preserve">》及绿化养护有关规定，遵循平等、自愿、公平和诚实信用的原则，甲乙双方就</w:t>
      </w:r>
      <w:r>
        <w:rPr>
          <w:rFonts w:hint="eastAsia" w:ascii="宋体" w:hAnsi="宋体" w:eastAsia="宋体" w:cs="宋体"/>
          <w:color w:val="000000"/>
          <w:sz w:val="24"/>
          <w:szCs w:val="24"/>
          <w:highlight w:val="none"/>
          <w:lang w:val="en-US" w:eastAsia="zh-CN"/>
        </w:rPr>
        <w:t xml:space="preserve">上黄镇区</w:t>
      </w:r>
      <w:r>
        <w:rPr>
          <w:rFonts w:hint="eastAsia" w:ascii="宋体" w:hAnsi="宋体" w:eastAsia="宋体" w:cs="宋体"/>
          <w:color w:val="000000"/>
          <w:sz w:val="24"/>
          <w:szCs w:val="24"/>
          <w:highlight w:val="none"/>
        </w:rPr>
        <w:t xml:space="preserve">绿化养护工程发承包事项协商一致，制定如下协议：</w:t>
      </w:r>
      <w:r/>
    </w:p>
    <w:p>
      <w:pPr>
        <w:numPr>
          <w:ilvl w:val="0"/>
          <w:numId w:val="17"/>
        </w:num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绿化养护范围及内容：</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养护范围及养护总面积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平方米（附</w:t>
      </w:r>
      <w:r>
        <w:rPr>
          <w:rFonts w:hint="eastAsia" w:ascii="宋体" w:hAnsi="宋体" w:eastAsia="宋体" w:cs="宋体"/>
          <w:color w:val="000000"/>
          <w:sz w:val="24"/>
          <w:szCs w:val="24"/>
          <w:highlight w:val="none"/>
          <w:lang w:eastAsia="zh-CN"/>
        </w:rPr>
        <w:t xml:space="preserve">上黄</w:t>
      </w:r>
      <w:r>
        <w:rPr>
          <w:rFonts w:hint="eastAsia" w:ascii="宋体" w:hAnsi="宋体" w:eastAsia="宋体" w:cs="宋体"/>
          <w:color w:val="000000"/>
          <w:sz w:val="24"/>
          <w:szCs w:val="24"/>
          <w:highlight w:val="none"/>
        </w:rPr>
        <w:t xml:space="preserve">镇绿地管养情况表）。养护内容包括道路两侧绿化材料、园林设施、硬质铺装管护，道路绿化带及公园绿地卫生保洁等。</w:t>
      </w:r>
      <w:r/>
    </w:p>
    <w:p>
      <w:pPr>
        <w:numPr>
          <w:ilvl w:val="0"/>
          <w:numId w:val="17"/>
        </w:num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绿化养护期限：</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本绿化养护项目自</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日止。</w:t>
      </w:r>
      <w:r/>
    </w:p>
    <w:p>
      <w:pPr>
        <w:numPr>
          <w:ilvl w:val="0"/>
          <w:numId w:val="17"/>
        </w:num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合同价款及调整：</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1、合同价款按照约定综合单价和工程量确定，并按照养护质量情况和约定评定标准核减未达标项。</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2、约定综合单价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元/㎡/年，固定包死、为完全费用单价；乙方养护工作未达到约定质量标准的，按照附件二（绿化管养考核实施细则）核减价款。</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价款为包干费用，包含但不限于人工、养护、小型机具、材料、安全文明施工费、施工人员食宿交通和生活用水电、成品保护、赶工、夜间施工、冬雨季施工、垃圾清理及消纳、风险处置、施工保护（工伤保险和第三者意外伤害险等）、管理、规费、税金、利润等一切费用。除非另有明确约定，甲方无需在合同价款之外，就签署和履行本合同向乙方或第三方支付其他费用。</w:t>
      </w:r>
      <w:r/>
    </w:p>
    <w:p>
      <w:pPr>
        <w:ind w:firstLine="480"/>
        <w:spacing w:line="560" w:lineRule="exact"/>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4、本合同项下暂定总价：全年合计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其中：应急费和甲供材料费8万元不列入甲方支付给乙方日常管养费中，由甲方根据实际使用情况进行支付</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5、如实际养护作业过程中，新增养护内容（甲方认可），双方应及时协商签订书面补充协议。</w:t>
      </w:r>
      <w:r/>
    </w:p>
    <w:p>
      <w:pPr>
        <w:numPr>
          <w:ilvl w:val="0"/>
          <w:numId w:val="17"/>
        </w:num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支付方式</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1、甲方每季度支付乙方上一周期内完成工程</w:t>
      </w:r>
      <w:r>
        <w:rPr>
          <w:rFonts w:hint="eastAsia" w:ascii="宋体" w:hAnsi="宋体" w:eastAsia="宋体" w:cs="宋体"/>
          <w:color w:val="000000"/>
          <w:sz w:val="24"/>
          <w:szCs w:val="24"/>
          <w:highlight w:val="none"/>
          <w:lang w:eastAsia="zh-CN"/>
        </w:rPr>
        <w:t xml:space="preserve">任务</w:t>
      </w:r>
      <w:r>
        <w:rPr>
          <w:rFonts w:hint="eastAsia" w:ascii="宋体" w:hAnsi="宋体" w:eastAsia="宋体" w:cs="宋体"/>
          <w:color w:val="000000"/>
          <w:sz w:val="24"/>
          <w:szCs w:val="24"/>
          <w:highlight w:val="none"/>
        </w:rPr>
        <w:t xml:space="preserve">对应价款的 </w:t>
      </w:r>
      <w:r>
        <w:rPr>
          <w:rFonts w:hint="eastAsia" w:ascii="宋体" w:hAnsi="宋体" w:eastAsia="宋体" w:cs="宋体"/>
          <w:color w:val="000000"/>
          <w:sz w:val="24"/>
          <w:szCs w:val="24"/>
          <w:highlight w:val="none"/>
          <w:u w:val="single"/>
        </w:rPr>
        <w:t xml:space="preserve">70%</w:t>
      </w:r>
      <w:r>
        <w:rPr>
          <w:rFonts w:hint="eastAsia" w:ascii="宋体" w:hAnsi="宋体" w:eastAsia="宋体" w:cs="宋体"/>
          <w:color w:val="000000"/>
          <w:sz w:val="24"/>
          <w:szCs w:val="24"/>
          <w:highlight w:val="none"/>
        </w:rPr>
        <w:t xml:space="preserve">，留存</w:t>
      </w:r>
      <w:r>
        <w:rPr>
          <w:rFonts w:hint="eastAsia" w:ascii="宋体" w:hAnsi="宋体" w:eastAsia="宋体" w:cs="宋体"/>
          <w:color w:val="000000"/>
          <w:sz w:val="24"/>
          <w:szCs w:val="24"/>
          <w:highlight w:val="none"/>
          <w:u w:val="single"/>
        </w:rPr>
        <w:t xml:space="preserve">30%</w:t>
      </w:r>
      <w:r>
        <w:rPr>
          <w:rFonts w:hint="eastAsia" w:ascii="宋体" w:hAnsi="宋体" w:eastAsia="宋体" w:cs="宋体"/>
          <w:color w:val="000000"/>
          <w:sz w:val="24"/>
          <w:szCs w:val="24"/>
          <w:highlight w:val="none"/>
        </w:rPr>
        <w:t xml:space="preserve">，养护期满验收合格后根据乙方累计完成工程</w:t>
      </w:r>
      <w:r>
        <w:rPr>
          <w:rFonts w:hint="eastAsia" w:ascii="宋体" w:hAnsi="宋体" w:eastAsia="宋体" w:cs="宋体"/>
          <w:color w:val="000000"/>
          <w:sz w:val="24"/>
          <w:szCs w:val="24"/>
          <w:highlight w:val="none"/>
          <w:lang w:eastAsia="zh-CN"/>
        </w:rPr>
        <w:t xml:space="preserve">任务</w:t>
      </w:r>
      <w:r>
        <w:rPr>
          <w:rFonts w:hint="eastAsia" w:ascii="宋体" w:hAnsi="宋体" w:eastAsia="宋体" w:cs="宋体"/>
          <w:color w:val="000000"/>
          <w:sz w:val="24"/>
          <w:szCs w:val="24"/>
          <w:highlight w:val="none"/>
        </w:rPr>
        <w:t xml:space="preserve">统一结算。</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2、乙方应在甲方付款同时开具合法足额发票（发票开具单位及收款账户名称应与乙方名称一致），否则甲方有权顺延付款，且不承担责任；甲方支付至结算价款90%前，乙方应开具结算价款100%的发票。</w:t>
      </w:r>
      <w:r/>
    </w:p>
    <w:p>
      <w:pPr>
        <w:numPr>
          <w:ilvl w:val="0"/>
          <w:numId w:val="17"/>
        </w:num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养护标准及内容</w:t>
      </w:r>
      <w:r/>
    </w:p>
    <w:p>
      <w:pPr>
        <w:numPr>
          <w:ilvl w:val="0"/>
          <w:numId w:val="18"/>
        </w:num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技术标准</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1、乙方养护质量，必须参照《</w:t>
      </w:r>
      <w:r>
        <w:rPr>
          <w:rFonts w:hint="eastAsia" w:ascii="宋体" w:hAnsi="宋体" w:eastAsia="宋体" w:cs="宋体"/>
          <w:color w:val="000000"/>
          <w:sz w:val="24"/>
          <w:szCs w:val="24"/>
          <w:highlight w:val="none"/>
          <w:lang w:eastAsia="zh-CN"/>
        </w:rPr>
        <w:t xml:space="preserve">上黄</w:t>
      </w:r>
      <w:r>
        <w:rPr>
          <w:rFonts w:hint="eastAsia" w:ascii="宋体" w:hAnsi="宋体" w:eastAsia="宋体" w:cs="宋体"/>
          <w:color w:val="000000"/>
          <w:sz w:val="24"/>
          <w:szCs w:val="24"/>
          <w:highlight w:val="none"/>
        </w:rPr>
        <w:t xml:space="preserve">镇绿化养护管理技术要求》、依据《</w:t>
      </w:r>
      <w:r>
        <w:rPr>
          <w:rFonts w:hint="eastAsia" w:ascii="宋体" w:hAnsi="宋体" w:eastAsia="宋体" w:cs="宋体"/>
          <w:color w:val="000000"/>
          <w:sz w:val="24"/>
          <w:szCs w:val="24"/>
          <w:highlight w:val="none"/>
          <w:lang w:eastAsia="zh-CN"/>
        </w:rPr>
        <w:t xml:space="preserve">上黄</w:t>
      </w:r>
      <w:r>
        <w:rPr>
          <w:rFonts w:hint="eastAsia" w:ascii="宋体" w:hAnsi="宋体" w:eastAsia="宋体" w:cs="宋体"/>
          <w:color w:val="000000"/>
          <w:sz w:val="24"/>
          <w:szCs w:val="24"/>
          <w:highlight w:val="none"/>
        </w:rPr>
        <w:t xml:space="preserve">镇集镇绿化养护标准》及《</w:t>
      </w:r>
      <w:r>
        <w:rPr>
          <w:rFonts w:hint="eastAsia" w:ascii="宋体" w:hAnsi="宋体" w:eastAsia="宋体" w:cs="宋体"/>
          <w:color w:val="000000"/>
          <w:sz w:val="24"/>
          <w:szCs w:val="24"/>
          <w:highlight w:val="none"/>
          <w:lang w:eastAsia="zh-CN"/>
        </w:rPr>
        <w:t xml:space="preserve">上黄</w:t>
      </w:r>
      <w:r>
        <w:rPr>
          <w:rFonts w:hint="eastAsia" w:ascii="宋体" w:hAnsi="宋体" w:eastAsia="宋体" w:cs="宋体"/>
          <w:color w:val="000000"/>
          <w:sz w:val="24"/>
          <w:szCs w:val="24"/>
          <w:highlight w:val="none"/>
        </w:rPr>
        <w:t xml:space="preserve">镇集镇绿地养护标准》规定。达到附件一（绿地管理要求）二级及以上养护标准，并接受甲方考核和监督。</w:t>
      </w:r>
      <w:r/>
    </w:p>
    <w:p>
      <w:pPr>
        <w:ind w:left="709" w:right="32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2、合同履行期内乙方须保证成活率100%。</w:t>
      </w:r>
      <w:r/>
    </w:p>
    <w:p>
      <w:pPr>
        <w:numPr>
          <w:ilvl w:val="0"/>
          <w:numId w:val="18"/>
        </w:numPr>
        <w:ind w:right="32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养护内容</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1、乙方养护工作包括但不限于卫生保洁、草坪养护、乔灌木保护、设施维护、绿地秩序管理、台账记录以及其他。具体要求参见附件二（绿化管养考核实施细则）。</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2、如遇高温、台风、洪涝、冻害等不良天气因素，乙方应根据气象局官方预警发布3日内，制定防灾处置措施，并报甲方审核，同意后按计划实施。</w:t>
      </w:r>
      <w:r/>
    </w:p>
    <w:p>
      <w:pPr>
        <w:numPr>
          <w:ilvl w:val="0"/>
          <w:numId w:val="17"/>
        </w:numPr>
        <w:ind w:right="32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养护管理及考核</w:t>
      </w:r>
      <w:r/>
    </w:p>
    <w:p>
      <w:pPr>
        <w:numPr>
          <w:ilvl w:val="0"/>
          <w:numId w:val="19"/>
        </w:num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绿地管养考核实行百分制（满分为100分），按月考评。具体实施标准参见附件二（绿化管养考核实施细则）。 </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应具备专业养护队伍，必须具有一定数量的绿化管养机械设备（浇水车、草坪修剪机、绿篱修剪机、治虫浇水设备等），同时应配备一定数量绿化工（或花卉工）或者绿化专业技术人员，人员年龄18-60周岁之间。如需更换人员，需经甲方同意。具体人员安排要求见附件三（</w:t>
      </w:r>
      <w:r>
        <w:rPr>
          <w:rFonts w:hint="eastAsia" w:ascii="宋体" w:hAnsi="宋体" w:eastAsia="宋体" w:cs="宋体"/>
          <w:color w:val="000000"/>
          <w:sz w:val="24"/>
          <w:szCs w:val="24"/>
          <w:highlight w:val="none"/>
          <w:lang w:eastAsia="zh-CN"/>
        </w:rPr>
        <w:t xml:space="preserve">上黄</w:t>
      </w:r>
      <w:r>
        <w:rPr>
          <w:rFonts w:hint="eastAsia" w:ascii="宋体" w:hAnsi="宋体" w:eastAsia="宋体" w:cs="宋体"/>
          <w:color w:val="000000"/>
          <w:sz w:val="24"/>
          <w:szCs w:val="24"/>
          <w:highlight w:val="none"/>
        </w:rPr>
        <w:t xml:space="preserve">镇绿地管养情况表）</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3、公园绿地必须配备专人保洁，保洁人员不得串岗、</w:t>
      </w:r>
      <w:r>
        <w:rPr>
          <w:rFonts w:hint="eastAsia" w:ascii="宋体" w:hAnsi="宋体" w:eastAsia="宋体" w:cs="宋体"/>
          <w:color w:val="000000"/>
          <w:sz w:val="24"/>
          <w:szCs w:val="24"/>
          <w:highlight w:val="none"/>
          <w:lang w:eastAsia="zh-CN"/>
        </w:rPr>
        <w:t xml:space="preserve">坐岗、</w:t>
      </w:r>
      <w:r>
        <w:rPr>
          <w:rFonts w:hint="eastAsia" w:ascii="宋体" w:hAnsi="宋体" w:eastAsia="宋体" w:cs="宋体"/>
          <w:color w:val="000000"/>
          <w:sz w:val="24"/>
          <w:szCs w:val="24"/>
          <w:highlight w:val="none"/>
        </w:rPr>
        <w:t xml:space="preserve">流动</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。保洁人员必须配备扫帚、垃圾袋、垃圾夹子、簸箕等保洁工具。公园内果壳箱必须保证安放垃圾袋、禁止垃圾满溢。上述保洁工具、材料需乙方自行提供，甲方无需另外支付相关费用。</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4、乙方在合同期内出现以下问题之一，养护合同将自动终止：</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（1）养护年度中有连续两次月考核不合格的（考核评分80分以下）。</w:t>
      </w:r>
      <w:r/>
    </w:p>
    <w:p>
      <w:pPr>
        <w:ind w:right="320" w:firstLine="480"/>
        <w:jc w:val="left"/>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（2）如在合同期内，发生重大质量、安全方面的责任事故，对绿化景观造成严重破坏或造成严重社会影响的(甲方将取消其管养资格，并依法继续向乙方追究相应法律和经济责任）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（3）管养现场负责人随意更换的。</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（4）管养合同进行转包的。</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5、乙方被取消管养资格后，养护合同自行解除。甲方不承担任何乙方发生的费用，并有权重新发包。</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6、其它管养保证措施</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（1）根据管养需要，养护期间每个路段现场施工人员必须统一服装标志。现场施工如需临时占道影响通行，要求划定作业区域，统一安放施工作业警示标志。</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（2）管养问题处置要求</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现场苗木发生缺失或死亡，乙方需主动及时按照同品种同规格完成补栽或按市场价格赔偿。</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（b）现场发生如卫生、苗木问题，由甲方或第三方平台发现并通知乙方后，乙方需在在规定期限内，完成处置并结案。</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（c）如有特殊情况，规定时间内无法完成，乙方须在接到甲方整改通知（苗木补植）3日内、（卫生保洁）10分钟内向甲方提交书面延期情况说明及完成期限，并经甲方同意后实施。</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（d）由于自然灾害和不可抗力原因造成的苗木缺失，由乙方向甲方提出书面申请，经甲方有关人员现场核实后，再做决定。</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（e）所有甲方要求其整改的问题，乙方必须按要求在规定时间内处置完毕，并保留影像资料，向甲方回复（处置完成时间以整改照片为准）。超时案件扣分根据附件二（绿化管养考核实施细则）加倍实施。</w:t>
      </w:r>
      <w:r/>
    </w:p>
    <w:p>
      <w:pPr>
        <w:ind w:right="320"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管养人员的工资待遇、降温补贴、保险、福利等，要求按照最新的劳动合同法和上级政策的有关规定执行，对可能出现的劳资纠纷、民事责任等，一律由管养方自行处理解决，甲方不参与管养单位内部管理经营。人工费用具体测算依据为：执行溧阳市最低工资标准，按规定交纳五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                                 </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七、本合同一式</w:t>
      </w:r>
      <w:r>
        <w:rPr>
          <w:rFonts w:hint="eastAsia" w:ascii="宋体" w:hAnsi="宋体" w:eastAsia="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rPr>
        <w:t xml:space="preserve">份，甲方</w:t>
      </w:r>
      <w:r>
        <w:rPr>
          <w:rFonts w:hint="eastAsia" w:ascii="宋体" w:hAnsi="宋体" w:eastAsia="宋体" w:cs="宋体"/>
          <w:color w:val="000000"/>
          <w:sz w:val="24"/>
          <w:szCs w:val="24"/>
          <w:highlight w:val="none"/>
          <w:lang w:val="en-US" w:eastAsia="zh-CN"/>
        </w:rPr>
        <w:t xml:space="preserve">叁</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lang w:val="en-US" w:eastAsia="zh-CN"/>
        </w:rPr>
        <w:t xml:space="preserve">叁</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经双方签字盖章后生效。</w:t>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12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甲方（签章）：                乙方（签章）：</w:t>
      </w:r>
      <w:r/>
    </w:p>
    <w:p>
      <w:pPr>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法人代表或授权委托人         法人代表或授权委托人</w:t>
      </w:r>
      <w:r/>
    </w:p>
    <w:p>
      <w:pPr>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（签字或盖章）              （签字或盖章）</w:t>
      </w:r>
      <w:r>
        <w:rPr>
          <w:rFonts w:hint="eastAsia" w:ascii="宋体" w:hAnsi="宋体" w:eastAsia="宋体" w:cs="宋体"/>
          <w:color w:val="000000"/>
          <w:sz w:val="24"/>
          <w:szCs w:val="24"/>
          <w:highlight w:val="none"/>
        </w:rPr>
        <w:t xml:space="preserve"> </w:t>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spacing w:line="560" w:lineRule="exact"/>
        <w:rPr>
          <w:rFonts w:hint="eastAsia"/>
          <w:color w:val="000000"/>
          <w:highlight w:val="none"/>
        </w:rPr>
      </w:pPr>
      <w:r>
        <w:rPr>
          <w:rFonts w:hint="eastAsia" w:ascii="宋体" w:hAnsi="宋体" w:eastAsia="宋体" w:cs="宋体"/>
          <w:color w:val="000000"/>
          <w:sz w:val="24"/>
          <w:szCs w:val="24"/>
          <w:highlight w:val="none"/>
        </w:rPr>
        <w:t xml:space="preserve">时    间：                 </w:t>
      </w:r>
      <w:r>
        <w:rPr>
          <w:rFonts w:hint="eastAsia" w:ascii="宋体" w:hAnsi="宋体" w:eastAsia="宋体" w:cs="宋体"/>
          <w:color w:val="000000"/>
          <w:sz w:val="24"/>
          <w:szCs w:val="24"/>
          <w:highlight w:val="none"/>
          <w:lang w:val="en-US" w:eastAsia="zh-CN"/>
        </w:rPr>
        <w:t xml:space="preserve">  </w:t>
      </w:r>
      <w:r/>
    </w:p>
    <w:p>
      <w:pPr>
        <w:jc w:val="left"/>
        <w:rPr>
          <w:rFonts w:hint="eastAsia"/>
          <w:b/>
          <w:color w:val="000000"/>
          <w:sz w:val="36"/>
          <w:szCs w:val="36"/>
          <w:highlight w:val="none"/>
        </w:rPr>
      </w:pPr>
      <w:r>
        <w:rPr>
          <w:rFonts w:hint="eastAsia"/>
          <w:b/>
          <w:color w:val="000000"/>
          <w:sz w:val="36"/>
          <w:szCs w:val="36"/>
          <w:highlight w:val="none"/>
        </w:rPr>
      </w:r>
      <w:r/>
    </w:p>
    <w:p>
      <w:pPr>
        <w:jc w:val="left"/>
        <w:rPr>
          <w:rFonts w:hint="eastAsia"/>
          <w:b/>
          <w:color w:val="000000"/>
          <w:sz w:val="36"/>
          <w:szCs w:val="36"/>
          <w:highlight w:val="none"/>
        </w:rPr>
      </w:pPr>
      <w:r>
        <w:rPr>
          <w:rFonts w:hint="eastAsia"/>
          <w:b/>
          <w:color w:val="000000"/>
          <w:sz w:val="36"/>
          <w:szCs w:val="36"/>
          <w:highlight w:val="none"/>
        </w:rPr>
        <w:br w:type="page" w:clear="all"/>
      </w:r>
      <w:r>
        <w:rPr>
          <w:rFonts w:hint="eastAsia"/>
          <w:b/>
          <w:color w:val="000000"/>
          <w:sz w:val="36"/>
          <w:szCs w:val="36"/>
          <w:highlight w:val="none"/>
        </w:rPr>
        <w:t xml:space="preserve">附件一</w:t>
      </w:r>
      <w:r/>
    </w:p>
    <w:p>
      <w:pPr>
        <w:jc w:val="center"/>
        <w:rPr>
          <w:rFonts w:hint="eastAsia" w:ascii="黑体" w:hAnsi="黑体" w:eastAsia="黑体" w:cs="黑体"/>
          <w:color w:val="000000"/>
          <w:sz w:val="32"/>
          <w:szCs w:val="32"/>
          <w:highlight w:val="none"/>
        </w:rPr>
      </w:pPr>
      <w:r>
        <w:rPr>
          <w:rFonts w:hint="eastAsia" w:ascii="黑体" w:hAnsi="黑体" w:eastAsia="黑体" w:cs="黑体"/>
          <w:b/>
          <w:color w:val="000000"/>
          <w:sz w:val="32"/>
          <w:szCs w:val="32"/>
          <w:highlight w:val="none"/>
        </w:rPr>
        <w:t xml:space="preserve">绿地管理要求</w:t>
      </w:r>
      <w:r/>
    </w:p>
    <w:tbl>
      <w:tblPr>
        <w:tblStyle w:val="781"/>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992"/>
        <w:gridCol w:w="4536"/>
        <w:gridCol w:w="3260"/>
      </w:tblGrid>
      <w:tr>
        <w:trPr>
          <w:trHeight w:val="452"/>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内容</w:t>
            </w:r>
            <w:r/>
          </w:p>
        </w:tc>
        <w:tc>
          <w:tcPr>
            <w:tcW w:w="4536"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特级、一级</w:t>
            </w:r>
            <w:r/>
          </w:p>
        </w:tc>
        <w:tc>
          <w:tcPr>
            <w:tcW w:w="3260"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二级</w:t>
            </w:r>
            <w:r/>
          </w:p>
        </w:tc>
      </w:tr>
      <w:tr>
        <w:trPr>
          <w:trHeight w:val="2312"/>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w:t>
            </w:r>
            <w:r/>
          </w:p>
        </w:tc>
        <w:tc>
          <w:tcPr>
            <w:tcW w:w="992" w:type="dxa"/>
            <w:vAlign w:val="center"/>
            <w:textDirection w:val="lrTb"/>
            <w:noWrap w:val="false"/>
          </w:tcPr>
          <w:p>
            <w:pPr>
              <w:jc w:val="cente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乔灌木</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1、树木生长正常，不歪斜（造型树木除外）；</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2、乔木树形完美，主侧枝均匀，数量适宜，内膛通风透光，无枯死枝、过密枝、下垂枝等；</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3、花灌木开花及时，正常，花后修剪及时。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4、乔木根部无萌蘖枝；</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5、无缺株、死树，无杂树，无明显杂草；</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6、基本无病虫害危害迹象。</w:t>
            </w:r>
            <w:r/>
          </w:p>
        </w:tc>
        <w:tc>
          <w:tcPr>
            <w:tcW w:w="326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1、树木生长正常，不歪斜（造型树木除外）；</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2、乔木树形基本完整，符合其自然特征，无明显的枯、死枝；</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3、花灌木开花及时，花后修剪及时；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4、无缺株、死树，无杂树，无藤本缠绕；</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5、无明显病虫害危害迹象；</w:t>
            </w:r>
            <w:r/>
          </w:p>
        </w:tc>
      </w:tr>
      <w:tr>
        <w:trPr>
          <w:trHeight w:val="1228"/>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p>
        </w:tc>
        <w:tc>
          <w:tcPr>
            <w:tcW w:w="992" w:type="dxa"/>
            <w:vAlign w:val="center"/>
            <w:textDirection w:val="lrTb"/>
            <w:noWrap w:val="false"/>
          </w:tcPr>
          <w:p>
            <w:pPr>
              <w:jc w:val="cente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绿篱色块地被</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1、生长茂盛，枝条茂密，密度适宜；</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2、生长季节修剪、追肥及时，修剪形态符合景观观赏要求；</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3、无人为践踏、断行缺株现象；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4、基本无病虫害危害。</w:t>
            </w:r>
            <w:r/>
          </w:p>
        </w:tc>
        <w:tc>
          <w:tcPr>
            <w:tcW w:w="326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1、生长良好；</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2、生长季节及时修剪、追肥，修剪形态符合生长要求；</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3、无人为践踏、断行缺株现象；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4、无明显病虫害危害。</w:t>
            </w:r>
            <w:r/>
          </w:p>
        </w:tc>
      </w:tr>
      <w:tr>
        <w:trPr>
          <w:trHeight w:val="2306"/>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w:t>
            </w:r>
            <w:r/>
          </w:p>
        </w:tc>
        <w:tc>
          <w:tcPr>
            <w:tcW w:w="992" w:type="dxa"/>
            <w:vAlign w:val="center"/>
            <w:textDirection w:val="lrTb"/>
            <w:noWrap w:val="false"/>
          </w:tcPr>
          <w:p>
            <w:pPr>
              <w:jc w:val="cente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草坪</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1、草坪生长茂盛，景观效果好；</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2、修剪及时，修剪高度符合要求；</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3、草坪边缘线清晰（树穴、花坛交界处、其他植物间）；</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4、基本无杂草，基本无病虫害危害现象；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5、草坪集中空秃面积不超过0.2㎡；</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6、绿地平整，无坑洼积水。</w:t>
            </w:r>
            <w:r/>
          </w:p>
        </w:tc>
        <w:tc>
          <w:tcPr>
            <w:tcW w:w="326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1、草坪生长正常，无明显空秃，集中空秃面积不超过0.5㎡；</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2、修剪及时，高度符合要求；</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3、无阔叶杂草、大型野草等，杂草控制高度在5㎝以下；</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4、无明显病虫害危害迹象；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5、绿地平整，无大面积的坑洼积水现象。</w:t>
            </w:r>
            <w:r/>
          </w:p>
        </w:tc>
      </w:tr>
      <w:tr>
        <w:trPr>
          <w:trHeight w:val="1387"/>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4</w:t>
            </w:r>
            <w:r/>
          </w:p>
        </w:tc>
        <w:tc>
          <w:tcPr>
            <w:tcW w:w="992" w:type="dxa"/>
            <w:vAlign w:val="center"/>
            <w:textDirection w:val="lrTb"/>
            <w:noWrap w:val="false"/>
          </w:tcPr>
          <w:p>
            <w:pPr>
              <w:jc w:val="cente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水体</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1、水面无漂浮物，河内水草清理及时；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2、水生植物生长健壮，观赏期长，秋冬季按要求收割及时；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3、无游泳现象；</w:t>
            </w:r>
            <w:r/>
          </w:p>
        </w:tc>
        <w:tc>
          <w:tcPr>
            <w:tcW w:w="326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1、水面无漂浮物，河内水草清理及时；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2、水生植物生长良好，保持正常形态特征，无明显有害生物危害；秋冬季按要求收割及时；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3、无游泳现象；</w:t>
            </w:r>
            <w:r/>
          </w:p>
        </w:tc>
      </w:tr>
      <w:tr>
        <w:trPr>
          <w:trHeight w:val="2082"/>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5</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园林设施维护</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1、园林建构筑物、小品及各类便民设施保持完好，无安全隐患、无破损现象，无乱涂写、乱张贴、乱涂刻现象；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2、设施损坏后修复及时；</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3、园路、铺装平整，无破损、无积水现象；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4、树木支撑桩位扎缚规范、有效。</w:t>
            </w:r>
            <w:r/>
          </w:p>
        </w:tc>
        <w:tc>
          <w:tcPr>
            <w:tcW w:w="326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1、园林设施基本完好，无安全隐患、无乱涂写、乱张贴、乱涂刻现象；有问题及时处理并上报；</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2、园路、铺装无积水现象；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3、树木支撑桩位扎缚规范、有效。</w:t>
            </w:r>
            <w:r/>
          </w:p>
        </w:tc>
      </w:tr>
      <w:tr>
        <w:trPr>
          <w:trHeight w:val="2052"/>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6</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卫生</w:t>
            </w:r>
            <w:r/>
          </w:p>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保洁</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1、绿地各类便民设施整洁，无陈旧积尘；</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2、绿地整洁，无枯枝落叶，无杂物、无白色垃圾（树挂）、无建筑垃圾，垃圾日产日清。</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3、作业废弃物（如树枝、树叶、草屑等）、水面杂物，日产日清。</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4、无卫生死角。</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6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1、绿地基本整洁，无枯枝落叶，无明显杂物、无白色垃圾、无建筑垃圾。</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2、作业废弃物（如树枝、树叶、草屑等）、绿地内水面杂物，日产日清。</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3、无卫生死角。</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015"/>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7</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绿地</w:t>
            </w:r>
            <w:r/>
          </w:p>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秩序</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1、无侵占毁绿行为和现象；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2、秩序良好，无乱堆乱放、晾晒衣物、无乱设摊和车辆乱停放现象；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3、对被破坏或其他原因引起的绿地损坏及时上报；</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4、及时清运各种垃圾杂物等，严禁现场焚烧。</w:t>
            </w:r>
            <w:r/>
          </w:p>
        </w:tc>
        <w:tc>
          <w:tcPr>
            <w:tcW w:w="326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1、无侵占毁绿行为和现象；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2、秩序良好，无乱堆乱放、晾晒衣物、无乱设摊和车辆乱停放现象；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3、对被破坏或其他原因引起的绿地损坏及时上报；</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4、及时清运各种垃圾杂物等，严禁现场焚烧。</w:t>
            </w:r>
            <w:r/>
          </w:p>
        </w:tc>
      </w:tr>
      <w:tr>
        <w:trPr>
          <w:trHeight w:val="1289"/>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8</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人员要求</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1、上岗人员年龄、数量附合规定；</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2、在岗人员统一着装，穿戴整齐，安全、规范、文明作业。</w:t>
            </w:r>
            <w:r/>
          </w:p>
        </w:tc>
        <w:tc>
          <w:tcPr>
            <w:tcW w:w="326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1、上岗人员年龄、数量附合规定；</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2、在岗人员统一着装，穿戴整齐，安全、规范、文明作业。</w:t>
            </w:r>
            <w:r/>
          </w:p>
        </w:tc>
      </w:tr>
      <w:tr>
        <w:trPr>
          <w:trHeight w:val="1440"/>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9</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组织管理</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1、绿化管理台帐齐全，有专人负责；</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2、根据绿地情况，制定绿地管养技术措施及年度养护计划、月度工作计划等；</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3、有应急抢险预案措施；</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4、加强对职工培训，提高职工的技术水平；</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5、按照有关安全生产操作规程组织作业。</w:t>
            </w:r>
            <w:r/>
          </w:p>
        </w:tc>
        <w:tc>
          <w:tcPr>
            <w:tcW w:w="326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1、绿化管理台帐齐全，有专人负责；</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2、根据绿地情况，制定绿地管养技术措施及年度养护计划、月度工作计划等；</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3、有应急抢险预案措施；</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4、加强对职工培训，提高职工的技术水平；</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5、按照有关安全生产操作规程组织作业。</w:t>
            </w:r>
            <w:r/>
          </w:p>
        </w:tc>
      </w:tr>
      <w:tr>
        <w:trPr>
          <w:trHeight w:val="1440"/>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10</w:t>
            </w:r>
            <w:r/>
          </w:p>
        </w:tc>
        <w:tc>
          <w:tcPr>
            <w:tcW w:w="992"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其它</w:t>
            </w:r>
            <w:r/>
          </w:p>
        </w:tc>
        <w:tc>
          <w:tcPr>
            <w:tcW w:w="453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1、公园绿地内4—10月份保洁时间为6：00—21：00，11—3月份7：00—20：00；其他绿地保洁时间为7：30—18：00；</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2、绿地保洁、养护人员见具体路段。</w:t>
            </w:r>
            <w:r/>
          </w:p>
        </w:tc>
        <w:tc>
          <w:tcPr>
            <w:tcW w:w="326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1、绿地保洁时间为7：00—17：30；</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2、绿地保洁、养护人员见具体路段。</w:t>
            </w:r>
            <w:r/>
          </w:p>
        </w:tc>
      </w:tr>
    </w:tbl>
    <w:p>
      <w:pPr>
        <w:jc w:val="left"/>
        <w:rPr>
          <w:rFonts w:hint="eastAsia"/>
          <w:b/>
          <w:color w:val="000000"/>
          <w:sz w:val="36"/>
          <w:szCs w:val="36"/>
          <w:highlight w:val="none"/>
        </w:rPr>
      </w:pPr>
      <w:r>
        <w:rPr>
          <w:rFonts w:hint="eastAsia"/>
          <w:b/>
          <w:color w:val="000000"/>
          <w:sz w:val="36"/>
          <w:szCs w:val="36"/>
          <w:highlight w:val="none"/>
        </w:rPr>
      </w:r>
      <w:r/>
    </w:p>
    <w:p>
      <w:pPr>
        <w:jc w:val="left"/>
        <w:rPr>
          <w:rFonts w:hint="eastAsia"/>
          <w:b/>
          <w:color w:val="000000"/>
          <w:sz w:val="32"/>
          <w:szCs w:val="32"/>
          <w:highlight w:val="none"/>
        </w:rPr>
      </w:pPr>
      <w:r>
        <w:rPr>
          <w:rFonts w:hint="eastAsia"/>
          <w:b/>
          <w:color w:val="000000"/>
          <w:sz w:val="32"/>
          <w:szCs w:val="32"/>
          <w:highlight w:val="none"/>
        </w:rPr>
        <w:t xml:space="preserve">附件二</w:t>
      </w:r>
      <w:r/>
    </w:p>
    <w:p>
      <w:pPr>
        <w:jc w:val="center"/>
        <w:rPr>
          <w:rFonts w:hint="eastAsia" w:ascii="黑体" w:hAnsi="黑体" w:eastAsia="黑体" w:cs="黑体"/>
          <w:b/>
          <w:color w:val="000000"/>
          <w:sz w:val="32"/>
          <w:szCs w:val="32"/>
          <w:highlight w:val="none"/>
        </w:rPr>
      </w:pPr>
      <w:r>
        <w:rPr>
          <w:rFonts w:hint="eastAsia" w:ascii="黑体" w:hAnsi="黑体" w:eastAsia="黑体" w:cs="黑体"/>
          <w:b/>
          <w:color w:val="000000"/>
          <w:sz w:val="32"/>
          <w:szCs w:val="32"/>
          <w:highlight w:val="none"/>
        </w:rPr>
        <w:t xml:space="preserve">绿化管养考核实施细则</w:t>
      </w:r>
      <w:r/>
    </w:p>
    <w:p>
      <w:pPr>
        <w:jc w:val="center"/>
        <w:rPr>
          <w:rFonts w:hint="eastAsia"/>
          <w:color w:val="000000"/>
          <w:szCs w:val="21"/>
          <w:highlight w:val="none"/>
        </w:rPr>
      </w:pPr>
      <w:r>
        <w:rPr>
          <w:rFonts w:hint="eastAsia"/>
          <w:color w:val="000000"/>
          <w:szCs w:val="21"/>
          <w:highlight w:val="none"/>
        </w:rPr>
      </w:r>
      <w:r/>
    </w:p>
    <w:p>
      <w:pPr>
        <w:rPr>
          <w:rFonts w:hint="eastAsia"/>
          <w:b/>
          <w:color w:val="000000"/>
          <w:sz w:val="24"/>
          <w:highlight w:val="none"/>
        </w:rPr>
      </w:pPr>
      <w:r>
        <w:rPr>
          <w:rFonts w:hint="eastAsia"/>
          <w:b/>
          <w:color w:val="000000"/>
          <w:sz w:val="24"/>
          <w:highlight w:val="none"/>
        </w:rPr>
        <w:t xml:space="preserve">（一）绿化养护管理考核实施细则</w:t>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794"/>
        <w:gridCol w:w="3600"/>
        <w:gridCol w:w="2668"/>
        <w:gridCol w:w="1018"/>
        <w:gridCol w:w="708"/>
      </w:tblGrid>
      <w:tr>
        <w:trPr>
          <w:jc w:val="center"/>
          <w:trHeight w:val="397"/>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项目</w:t>
            </w:r>
            <w:r/>
          </w:p>
        </w:tc>
        <w:tc>
          <w:tcPr>
            <w:tcW w:w="794"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分值</w:t>
            </w:r>
            <w:r/>
          </w:p>
        </w:tc>
        <w:tc>
          <w:tcPr>
            <w:tcW w:w="3600"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考  核  标  准</w:t>
            </w:r>
            <w:r/>
          </w:p>
        </w:tc>
        <w:tc>
          <w:tcPr>
            <w:gridSpan w:val="2"/>
            <w:tcW w:w="3686"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扣  分  细  则</w:t>
            </w:r>
            <w:r/>
          </w:p>
        </w:tc>
        <w:tc>
          <w:tcPr>
            <w:tcW w:w="70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扣分</w:t>
            </w:r>
            <w:r/>
          </w:p>
        </w:tc>
      </w:tr>
      <w:tr>
        <w:trPr>
          <w:cantSplit/>
          <w:jc w:val="center"/>
          <w:trHeight w:val="850"/>
        </w:trPr>
        <w:tc>
          <w:tcPr>
            <w:tcW w:w="568" w:type="dxa"/>
            <w:vAlign w:val="center"/>
            <w:vMerge w:val="restart"/>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卫生</w:t>
            </w:r>
            <w:r/>
          </w:p>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保洁</w:t>
            </w:r>
            <w:r/>
          </w:p>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w:t>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1、花坛、树池、绿地内无白色垃圾、落叶、建筑垃圾；水面无漂浮物等。</w:t>
            </w:r>
            <w:r/>
          </w:p>
        </w:tc>
        <w:tc>
          <w:tcPr>
            <w:gridSpan w:val="2"/>
            <w:tcW w:w="3686"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发现有陈旧垃圾、杂物扣2分/处；发现有卫生死角扣5分/处；发现园林设施及水体不整洁扣1分/处；垃圾当天不及时清运扣2分。</w:t>
            </w:r>
            <w:r/>
          </w:p>
        </w:tc>
        <w:tc>
          <w:tcPr>
            <w:tcW w:w="708"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397"/>
        </w:trPr>
        <w:tc>
          <w:tcPr>
            <w:tcW w:w="568" w:type="dxa"/>
            <w:vAlign w:val="center"/>
            <w:vMerge w:val="continue"/>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2、园林设施整洁卫生。</w:t>
            </w:r>
            <w:r/>
          </w:p>
        </w:tc>
        <w:tc>
          <w:tcPr>
            <w:gridSpan w:val="2"/>
            <w:tcW w:w="3686"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24"/>
        </w:trPr>
        <w:tc>
          <w:tcPr>
            <w:tcW w:w="568" w:type="dxa"/>
            <w:vAlign w:val="center"/>
            <w:vMerge w:val="continue"/>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3、生产垃圾日产日清，重点地段随产随清。</w:t>
            </w:r>
            <w:r/>
          </w:p>
        </w:tc>
        <w:tc>
          <w:tcPr>
            <w:gridSpan w:val="2"/>
            <w:tcW w:w="3686"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568" w:type="dxa"/>
            <w:vAlign w:val="center"/>
            <w:vMerge w:val="restart"/>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草坪</w:t>
            </w:r>
            <w:r/>
          </w:p>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养护</w:t>
            </w:r>
            <w:r/>
          </w:p>
        </w:tc>
        <w:tc>
          <w:tcPr>
            <w:tcW w:w="794"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1、生长期长势好，草坪绿期长，抗旱浇水和雨后排水及时，无退化现象。</w:t>
            </w:r>
            <w:r/>
          </w:p>
        </w:tc>
        <w:tc>
          <w:tcPr>
            <w:gridSpan w:val="2"/>
            <w:tcW w:w="3686"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未及时做好浇水、排水工作致草坪生长不良扣1分/处；修剪不合格每平方扣1分；病虫害防治不力造成危害影响景观的每平方扣1分；杂草明显、界线不清扣1分/处</w:t>
            </w:r>
            <w:r/>
          </w:p>
        </w:tc>
        <w:tc>
          <w:tcPr>
            <w:tcW w:w="708"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1134"/>
        </w:trPr>
        <w:tc>
          <w:tcPr>
            <w:tcW w:w="568" w:type="dxa"/>
            <w:vAlign w:val="center"/>
            <w:vMerge w:val="continue"/>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2、修剪平整，冬绿型草坪高度不超过10厘米，夏绿型草坪高度不超过6厘米，休眠期前作较低修剪。</w:t>
            </w:r>
            <w:r/>
          </w:p>
        </w:tc>
        <w:tc>
          <w:tcPr>
            <w:gridSpan w:val="2"/>
            <w:tcW w:w="3686"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24"/>
        </w:trPr>
        <w:tc>
          <w:tcPr>
            <w:tcW w:w="568" w:type="dxa"/>
            <w:vAlign w:val="center"/>
            <w:vMerge w:val="continue"/>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3、草坪无病虫害，无空秃，有一定厚度，草根不裸露。</w:t>
            </w:r>
            <w:r/>
          </w:p>
        </w:tc>
        <w:tc>
          <w:tcPr>
            <w:gridSpan w:val="2"/>
            <w:tcW w:w="3686"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24"/>
        </w:trPr>
        <w:tc>
          <w:tcPr>
            <w:tcW w:w="568" w:type="dxa"/>
            <w:vAlign w:val="center"/>
            <w:vMerge w:val="continue"/>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4、无杂草，与绿篱色块、地被之间界线清晰。</w:t>
            </w:r>
            <w:r/>
          </w:p>
        </w:tc>
        <w:tc>
          <w:tcPr>
            <w:gridSpan w:val="2"/>
            <w:tcW w:w="3686"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568" w:type="dxa"/>
            <w:vAlign w:val="center"/>
            <w:vMerge w:val="restart"/>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乔灌木</w:t>
            </w:r>
            <w:r/>
          </w:p>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养护</w:t>
            </w:r>
            <w:r/>
          </w:p>
        </w:tc>
        <w:tc>
          <w:tcPr>
            <w:tcW w:w="794"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w:t>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1、树木生长正常，无死树、断枝及明显枯死枝，无倾斜、歪倒现象，绿篱色块基本无空缺。</w:t>
            </w:r>
            <w:r/>
          </w:p>
        </w:tc>
        <w:tc>
          <w:tcPr>
            <w:gridSpan w:val="2"/>
            <w:tcW w:w="3686"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管护不到位，未及时做好浇水、排水工作致苗木死亡的扣5分/处；歪斜树不及时扶正、死树、枯枝、断枝不及时处理扣1分/株。修剪、清理不及时及修剪手法过重扣1分/处；绿篱色块成片死亡未及时补缺到位扣1分/处。出现病虫害症状，防治不力的扣1分/次，造成严重危害的扣2分/次，造成一定范围植株死亡的扣5分/次。</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发现明显杂草、杂树扣1分/处。</w:t>
            </w:r>
            <w:r/>
          </w:p>
        </w:tc>
        <w:tc>
          <w:tcPr>
            <w:tcW w:w="708"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1077"/>
        </w:trPr>
        <w:tc>
          <w:tcPr>
            <w:tcW w:w="568" w:type="dxa"/>
            <w:vAlign w:val="center"/>
            <w:vMerge w:val="continue"/>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2、树木的修剪符合景观观赏要求，乔木根部无萌孽枝，绿篱、色块修剪及时到位，垂直绿化牵引、绑扎到位。</w:t>
            </w:r>
            <w:r/>
          </w:p>
        </w:tc>
        <w:tc>
          <w:tcPr>
            <w:gridSpan w:val="2"/>
            <w:tcW w:w="3686"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568" w:type="dxa"/>
            <w:vAlign w:val="center"/>
            <w:vMerge w:val="continue"/>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3、树木病虫害防治及时、有效，蛀干害虫&lt;3%,食叶性害虫&lt;5%,刺吸性害虫&lt;10%。</w:t>
            </w:r>
            <w:r/>
          </w:p>
        </w:tc>
        <w:tc>
          <w:tcPr>
            <w:gridSpan w:val="2"/>
            <w:tcW w:w="3686"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ind w:left="141" w:hanging="140"/>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568" w:type="dxa"/>
            <w:vAlign w:val="center"/>
            <w:vMerge w:val="continue"/>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4、绿地内无大型杂草、无缠绕性、攀缘性杂草，无乱牵乱挂现象，杂树、树桩清除及时。</w:t>
            </w:r>
            <w:r/>
          </w:p>
        </w:tc>
        <w:tc>
          <w:tcPr>
            <w:gridSpan w:val="2"/>
            <w:tcW w:w="3686"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1077"/>
        </w:trPr>
        <w:tc>
          <w:tcPr>
            <w:tcW w:w="568" w:type="dxa"/>
            <w:vAlign w:val="center"/>
            <w:vMerge w:val="restart"/>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设施</w:t>
            </w:r>
            <w:r/>
          </w:p>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维护</w:t>
            </w:r>
            <w:r/>
          </w:p>
        </w:tc>
        <w:tc>
          <w:tcPr>
            <w:tcW w:w="794"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1、建筑小品、辅助设施和标志标牌等完好，无人为损坏或遗失，如有缺损及时上报并按原貌修复。</w:t>
            </w:r>
            <w:r/>
          </w:p>
        </w:tc>
        <w:tc>
          <w:tcPr>
            <w:gridSpan w:val="2"/>
            <w:tcW w:w="3686"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设施破损未能及时上报或未按要求恢复的扣2分/件次，每拖垃1天扣1分；乱张贴、乱涂写每发现1处扣1分。</w:t>
            </w:r>
            <w:r/>
          </w:p>
        </w:tc>
        <w:tc>
          <w:tcPr>
            <w:tcW w:w="708"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597"/>
        </w:trPr>
        <w:tc>
          <w:tcPr>
            <w:tcW w:w="568" w:type="dxa"/>
            <w:vAlign w:val="center"/>
            <w:vMerge w:val="continue"/>
            <w:textDirection w:val="lrTb"/>
            <w:noWrap w:val="false"/>
          </w:tcPr>
          <w:p>
            <w:pPr>
              <w:jc w:val="left"/>
              <w:keepLines w:val="0"/>
              <w:keepNext w:val="0"/>
              <w:pageBreakBefore w:val="0"/>
              <w:spacing w:line="24"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94"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2、定期清洗，无灰尘污渍，无乱张贴、乱涂写现象。</w:t>
            </w:r>
            <w:r/>
          </w:p>
        </w:tc>
        <w:tc>
          <w:tcPr>
            <w:gridSpan w:val="2"/>
            <w:tcW w:w="3686"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568" w:type="dxa"/>
            <w:vAlign w:val="center"/>
            <w:vMerge w:val="restart"/>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绿地</w:t>
            </w:r>
            <w:r/>
          </w:p>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秩序</w:t>
            </w:r>
            <w:r/>
          </w:p>
        </w:tc>
        <w:tc>
          <w:tcPr>
            <w:tcW w:w="794"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1、绿地上有杂物堆放、乱停车、乱披挂、乱设摊、乱晾晒、乱焚烧生产垃圾的现象。</w:t>
            </w:r>
            <w:r/>
          </w:p>
        </w:tc>
        <w:tc>
          <w:tcPr>
            <w:gridSpan w:val="2"/>
            <w:tcW w:w="3686"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发现一辆扣1分，管养人员自己的车辆扣2分/辆,杂物堆放、乱披披挂、乱晾晒扣1分/处，乱设置扣2分/处，乱焚烧生产垃圾扣3分/处，扣完为止。绿地侵占、破坏设施未发现制止或发现未汇报的扣2分/次。</w:t>
            </w:r>
            <w:r/>
          </w:p>
        </w:tc>
        <w:tc>
          <w:tcPr>
            <w:tcW w:w="708"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568" w:type="dxa"/>
            <w:vAlign w:val="center"/>
            <w:vMerge w:val="continue"/>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2、发现绿地侵占、偷盗苗木、破坏设施等现象，要立即制止，同时第一时间与甲方联系并汇报。</w:t>
            </w:r>
            <w:r/>
          </w:p>
        </w:tc>
        <w:tc>
          <w:tcPr>
            <w:gridSpan w:val="2"/>
            <w:tcW w:w="3686"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2438"/>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台帐记录</w:t>
            </w:r>
            <w:r/>
          </w:p>
        </w:tc>
        <w:tc>
          <w:tcPr>
            <w:tcW w:w="794"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1、提供当月考勤情况记录表、管理工作小结及次月工作计划安排。</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2、及时做好各类灾害性天气的应急预案。</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3、做好每月安全例会和文明作业的台帐资料。</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4、提供人员工资福利发放单（复印件）。</w:t>
            </w:r>
            <w:r/>
          </w:p>
        </w:tc>
        <w:tc>
          <w:tcPr>
            <w:gridSpan w:val="2"/>
            <w:tcW w:w="3686"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未按要求完成上交的，每缺一项扣2分</w:t>
            </w:r>
            <w:r/>
          </w:p>
        </w:tc>
        <w:tc>
          <w:tcPr>
            <w:tcW w:w="708"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850"/>
        </w:trPr>
        <w:tc>
          <w:tcPr>
            <w:tcW w:w="568" w:type="dxa"/>
            <w:vAlign w:val="center"/>
            <w:vMerge w:val="restart"/>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其他</w:t>
            </w:r>
            <w:r/>
          </w:p>
        </w:tc>
        <w:tc>
          <w:tcPr>
            <w:tcW w:w="794"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1、上岗人员符合管养绿地要求，人员齐全，年龄符合规定。定职定岗，按规定着标志服装。</w:t>
            </w:r>
            <w:r/>
          </w:p>
        </w:tc>
        <w:tc>
          <w:tcPr>
            <w:gridSpan w:val="2"/>
            <w:tcW w:w="3686"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岗人员有缺少或不符合要求扣5分/人，聚众聊天、串岗离岗发现1人扣1分；不着标志服装,每发现1人扣1分。未按作业安全操作规程进行登高、机械操作的发现一次扣1分。不服从甲方管理，未能按要求完成任务的一次扣2分。</w:t>
            </w:r>
            <w:r/>
          </w:p>
        </w:tc>
        <w:tc>
          <w:tcPr>
            <w:tcW w:w="708" w:type="dxa"/>
            <w:vAlign w:val="center"/>
            <w:vMerge w:val="restart"/>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94"/>
        </w:trPr>
        <w:tc>
          <w:tcPr>
            <w:tcW w:w="568" w:type="dxa"/>
            <w:vAlign w:val="center"/>
            <w:vMerge w:val="continue"/>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2、安全要求，按绿化作业安全操作规程执行。</w:t>
            </w:r>
            <w:r/>
          </w:p>
        </w:tc>
        <w:tc>
          <w:tcPr>
            <w:gridSpan w:val="2"/>
            <w:tcW w:w="3686"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705"/>
        </w:trPr>
        <w:tc>
          <w:tcPr>
            <w:tcW w:w="568" w:type="dxa"/>
            <w:vAlign w:val="center"/>
            <w:vMerge w:val="continue"/>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794"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3、服从甲方统一管理,完成甲方安排的各项任务。</w:t>
            </w:r>
            <w:r/>
          </w:p>
        </w:tc>
        <w:tc>
          <w:tcPr>
            <w:gridSpan w:val="2"/>
            <w:tcW w:w="3686"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08" w:type="dxa"/>
            <w:vAlign w:val="center"/>
            <w:vMerge w:val="continue"/>
            <w:textDirection w:val="lrTb"/>
            <w:noWrap w:val="false"/>
          </w:tcPr>
          <w:p>
            <w:pPr>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96"/>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合计</w:t>
            </w:r>
            <w:r/>
          </w:p>
        </w:tc>
        <w:tc>
          <w:tcPr>
            <w:tcW w:w="794"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w:t>
            </w:r>
            <w:r/>
          </w:p>
        </w:tc>
        <w:tc>
          <w:tcPr>
            <w:tcW w:w="360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668"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18"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得分</w:t>
            </w:r>
            <w:r/>
          </w:p>
        </w:tc>
        <w:tc>
          <w:tcPr>
            <w:tcW w:w="708" w:type="dxa"/>
            <w:vAlign w:val="top"/>
            <w:textDirection w:val="lrTb"/>
            <w:noWrap w:val="false"/>
          </w:tcPr>
          <w:p>
            <w:pPr>
              <w:jc w:val="left"/>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1401"/>
        </w:trPr>
        <w:tc>
          <w:tcPr>
            <w:tcW w:w="568" w:type="dxa"/>
            <w:vAlign w:val="center"/>
            <w:textDirection w:val="lrTb"/>
            <w:noWrap w:val="false"/>
          </w:tcPr>
          <w:p>
            <w:pPr>
              <w:jc w:val="center"/>
              <w:keepLines w:val="0"/>
              <w:keepNext w:val="0"/>
              <w:pageBreakBefore w:val="0"/>
              <w:spacing w:line="24"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特别</w:t>
            </w:r>
            <w:r/>
          </w:p>
          <w:p>
            <w:pPr>
              <w:jc w:val="center"/>
              <w:keepLines w:val="0"/>
              <w:keepNext w:val="0"/>
              <w:pageBreakBefore w:val="0"/>
              <w:spacing w:line="24" w:lineRule="atLeast"/>
              <w:rPr>
                <w:rFonts w:hint="eastAsia" w:ascii="宋体" w:hAnsi="宋体" w:eastAsia="宋体" w:cs="宋体"/>
                <w:color w:val="000000"/>
                <w:szCs w:val="21"/>
                <w:highlight w:val="none"/>
              </w:rPr>
            </w:pPr>
            <w:r>
              <w:rPr>
                <w:rFonts w:hint="eastAsia" w:ascii="宋体" w:hAnsi="宋体" w:eastAsia="宋体" w:cs="宋体"/>
                <w:b/>
                <w:color w:val="000000"/>
                <w:sz w:val="24"/>
                <w:highlight w:val="none"/>
              </w:rPr>
              <w:t xml:space="preserve">条款</w:t>
            </w:r>
            <w:r/>
          </w:p>
        </w:tc>
        <w:tc>
          <w:tcPr>
            <w:gridSpan w:val="4"/>
            <w:tcW w:w="8080" w:type="dxa"/>
            <w:vAlign w:val="center"/>
            <w:textDirection w:val="lrTb"/>
            <w:noWrap w:val="false"/>
          </w:tcPr>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被媒体曝光或受到各级领导通报批评的，发生一次扣5分；</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各部门发现的问题或者群众来信来访未能及时整改处理或回复处理不及时、不真实的，每次扣5分；</w:t>
            </w:r>
            <w:r/>
          </w:p>
          <w:p>
            <w:pPr>
              <w:keepLines w:val="0"/>
              <w:keepNext w:val="0"/>
              <w:pageBreakBefore w:val="0"/>
              <w:spacing w:line="24"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城市长效管理，常州市及溧阳市考评因绿地管理出现扣分的，直接按其考评扣分的双倍扣除。</w:t>
            </w:r>
            <w:r/>
          </w:p>
        </w:tc>
        <w:tc>
          <w:tcPr>
            <w:tcW w:w="708" w:type="dxa"/>
            <w:vAlign w:val="top"/>
            <w:textDirection w:val="lrTb"/>
            <w:noWrap w:val="false"/>
          </w:tcPr>
          <w:p>
            <w:pPr>
              <w:jc w:val="left"/>
              <w:keepLines w:val="0"/>
              <w:keepNext w:val="0"/>
              <w:pageBreakBefore w:val="0"/>
              <w:spacing w:line="24"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spacing w:line="192" w:lineRule="auto"/>
        <w:widowControl/>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r>
      <w:r/>
    </w:p>
    <w:p>
      <w:pPr>
        <w:spacing w:line="19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说明：1、考核细则实施扣分，每一项扣分以扣完本项目分值为止。</w:t>
      </w:r>
      <w:r/>
    </w:p>
    <w:p>
      <w:pPr>
        <w:spacing w:line="192" w:lineRule="auto"/>
        <w:widowControl/>
        <w:rPr>
          <w:rFonts w:hint="eastAsia" w:ascii="宋体" w:hAnsi="宋体" w:eastAsia="宋体" w:cs="宋体"/>
          <w:b/>
          <w:bCs/>
          <w:color w:val="000000"/>
          <w:sz w:val="32"/>
          <w:szCs w:val="32"/>
          <w:highlight w:val="none"/>
        </w:rPr>
      </w:pPr>
      <w:r>
        <w:rPr>
          <w:rFonts w:hint="eastAsia" w:ascii="宋体" w:hAnsi="宋体" w:eastAsia="宋体" w:cs="宋体"/>
          <w:color w:val="000000"/>
          <w:sz w:val="24"/>
          <w:highlight w:val="none"/>
        </w:rPr>
        <w:t xml:space="preserve">      2、日常考核时，对于人员上岗、着装、日常保洁、病虫害以及一些直接造成损害的问题直接扣分；其他问题按要求整改处理，在规定期限未能处理到位的进行扣分。月考核中，发现问题直接扣分。</w:t>
      </w:r>
      <w:r/>
    </w:p>
    <w:p>
      <w:pPr>
        <w:rPr>
          <w:rFonts w:hint="eastAsia" w:ascii="仿宋_GB2312" w:hAnsi="仿宋_GB2312" w:eastAsia="仿宋_GB2312" w:cs="仿宋_GB2312"/>
          <w:b/>
          <w:bCs/>
          <w:color w:val="000000"/>
          <w:sz w:val="32"/>
          <w:szCs w:val="32"/>
          <w:highlight w:val="none"/>
        </w:rPr>
      </w:pPr>
      <w:r>
        <w:rPr>
          <w:rFonts w:hint="eastAsia" w:ascii="仿宋_GB2312" w:hAnsi="仿宋_GB2312" w:eastAsia="仿宋_GB2312" w:cs="仿宋_GB2312"/>
          <w:b/>
          <w:bCs/>
          <w:color w:val="000000"/>
          <w:sz w:val="32"/>
          <w:szCs w:val="32"/>
          <w:highlight w:val="none"/>
        </w:rPr>
      </w:r>
      <w:r/>
    </w:p>
    <w:p>
      <w:pPr>
        <w:spacing w:line="360" w:lineRule="auto"/>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br w:type="page" w:clear="all"/>
      </w:r>
      <w:r>
        <w:rPr>
          <w:rFonts w:hint="eastAsia" w:ascii="Times New Roman" w:hAnsi="Times New Roman" w:eastAsia="宋体" w:cs="Times New Roman"/>
          <w:b/>
          <w:color w:val="000000"/>
          <w:sz w:val="24"/>
          <w:highlight w:val="none"/>
        </w:rPr>
        <w:t xml:space="preserve">（二）绿化养护管理奖惩措施</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1、绿化管养综合评分每扣一分，扣除相应管理经费100元，上不封顶。</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2、绿化管养考核由日常考核巡查和月考核组成，由合同甲方组织实施。</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3、综合评分=100-日常考核扣分×70%-月度考核扣分×30%－特别条款扣分。</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4、同一路段暴露出的同一问题甲方电话通知乙方两次后仍未整改到位，甲方将开出“整改通知书”，并在当月综合评分中扣除5分。</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5、日常检查过程中，出现下列情况时，除按规定扣分外，还需直接扣除养护经费：</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①、现场负责人应按时按规定参加甲方组织的各项培训、会议；无故缺席的一次扣500元；</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②、按合同规定的养护人员人数到岗到位，不足员时，按每人每天200元扣除；</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③、处于失管状态的地块，甲方有权根据失管的严重程度，在扣分的基础上，直接扣除当月的养护费用；</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6、该措施中所指的扣款是每月考核综合评分扣款，管养单位在结算资金时结清。</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7、如不当养护造成绿化损失或严重社会影响，如草坪杂化、乔木修剪过重、地被花境长势衰退或严重不良等由管养单位负责更新，费用由管养单位自行承担。</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应急管理：养护单位必须制定灾害性天气应急预案，建立一支稳定的应急抢险队伍，并配备必须的应急设备，确保出现灾害性天气时，能够第一时间投入抢险救灾灾，并服从甲方另行安排的其它范围内的应急抢险任务。</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安全责任事故等风险问题：养护期内，养护单位须加强安全生产管理，积极主动采取防范措施，解除安全隐患，同时为养护工人购买保险等方式来规避风险。如养护标段中发生安全事故、人员伤亡事件，由养护单位负责处理解决，处理过程中发生的费用（包括赔偿费用）由养护单位承担。</w:t>
      </w:r>
      <w:r/>
    </w:p>
    <w:p>
      <w:pPr>
        <w:spacing w:line="360" w:lineRule="auto"/>
        <w:rPr>
          <w:rFonts w:hint="eastAsia"/>
          <w:color w:val="000000"/>
          <w:sz w:val="24"/>
          <w:szCs w:val="24"/>
          <w:highlight w:val="none"/>
          <w:lang w:eastAsia="zh-CN"/>
        </w:rPr>
      </w:pPr>
      <w:r>
        <w:rPr>
          <w:rFonts w:hint="eastAsia"/>
          <w:color w:val="000000"/>
          <w:sz w:val="24"/>
          <w:szCs w:val="24"/>
          <w:highlight w:val="none"/>
          <w:lang w:eastAsia="zh-CN"/>
        </w:rPr>
      </w:r>
      <w:r/>
    </w:p>
    <w:p>
      <w:pPr>
        <w:rPr>
          <w:rFonts w:hint="eastAsia"/>
          <w:color w:val="000000"/>
          <w:sz w:val="24"/>
          <w:szCs w:val="24"/>
          <w:highlight w:val="none"/>
          <w:lang w:eastAsia="zh-CN"/>
        </w:rPr>
      </w:pPr>
      <w:r>
        <w:rPr>
          <w:rFonts w:hint="eastAsia"/>
          <w:color w:val="000000"/>
          <w:sz w:val="24"/>
          <w:szCs w:val="24"/>
          <w:highlight w:val="none"/>
          <w:lang w:eastAsia="zh-CN"/>
        </w:rPr>
      </w:r>
      <w:r/>
    </w:p>
    <w:p>
      <w:pPr>
        <w:rPr>
          <w:rFonts w:hint="eastAsia"/>
          <w:color w:val="000000"/>
          <w:sz w:val="24"/>
          <w:szCs w:val="24"/>
          <w:highlight w:val="none"/>
          <w:lang w:eastAsia="zh-CN"/>
        </w:rPr>
      </w:pPr>
      <w:r>
        <w:rPr>
          <w:rFonts w:hint="eastAsia"/>
          <w:color w:val="000000"/>
          <w:sz w:val="24"/>
          <w:szCs w:val="24"/>
          <w:highlight w:val="none"/>
          <w:lang w:eastAsia="zh-CN"/>
        </w:rPr>
      </w:r>
      <w:r/>
    </w:p>
    <w:p>
      <w:pPr>
        <w:rPr>
          <w:rFonts w:hint="eastAsia"/>
          <w:color w:val="000000"/>
          <w:sz w:val="24"/>
          <w:szCs w:val="24"/>
          <w:highlight w:val="none"/>
          <w:lang w:eastAsia="zh-CN"/>
        </w:rPr>
      </w:pPr>
      <w:r>
        <w:rPr>
          <w:rFonts w:hint="eastAsia"/>
          <w:color w:val="000000"/>
          <w:sz w:val="24"/>
          <w:szCs w:val="24"/>
          <w:highlight w:val="none"/>
          <w:lang w:eastAsia="zh-CN"/>
        </w:rPr>
      </w:r>
      <w:r/>
    </w:p>
    <w:p>
      <w:pPr>
        <w:rPr>
          <w:rFonts w:hint="eastAsia"/>
          <w:color w:val="000000"/>
          <w:sz w:val="24"/>
          <w:szCs w:val="24"/>
          <w:highlight w:val="none"/>
          <w:lang w:eastAsia="zh-CN"/>
        </w:rPr>
      </w:pPr>
      <w:r>
        <w:rPr>
          <w:rFonts w:hint="eastAsia"/>
          <w:color w:val="000000"/>
          <w:sz w:val="24"/>
          <w:szCs w:val="24"/>
          <w:highlight w:val="none"/>
          <w:lang w:eastAsia="zh-CN"/>
        </w:rPr>
      </w:r>
      <w:r/>
    </w:p>
    <w:p>
      <w:pPr>
        <w:rPr>
          <w:rFonts w:hint="eastAsia"/>
          <w:color w:val="000000"/>
          <w:sz w:val="24"/>
          <w:szCs w:val="24"/>
          <w:highlight w:val="none"/>
          <w:lang w:eastAsia="zh-CN"/>
        </w:rPr>
      </w:pPr>
      <w:r>
        <w:rPr>
          <w:rFonts w:hint="eastAsia"/>
          <w:color w:val="000000"/>
          <w:sz w:val="24"/>
          <w:szCs w:val="24"/>
          <w:highlight w:val="none"/>
          <w:lang w:eastAsia="zh-CN"/>
        </w:rPr>
      </w:r>
      <w:r/>
    </w:p>
    <w:p>
      <w:pPr>
        <w:rPr>
          <w:rFonts w:hint="eastAsia"/>
          <w:color w:val="000000"/>
          <w:sz w:val="24"/>
          <w:szCs w:val="24"/>
          <w:highlight w:val="none"/>
          <w:lang w:eastAsia="zh-CN"/>
        </w:rPr>
      </w:pPr>
      <w:r>
        <w:rPr>
          <w:rFonts w:hint="eastAsia"/>
          <w:color w:val="000000"/>
          <w:sz w:val="24"/>
          <w:szCs w:val="24"/>
          <w:highlight w:val="none"/>
          <w:lang w:eastAsia="zh-CN"/>
        </w:rPr>
      </w:r>
      <w:r/>
    </w:p>
    <w:p>
      <w:pPr>
        <w:rPr>
          <w:rFonts w:hint="eastAsia"/>
          <w:color w:val="000000"/>
          <w:sz w:val="24"/>
          <w:szCs w:val="24"/>
          <w:highlight w:val="none"/>
          <w:lang w:eastAsia="zh-CN"/>
        </w:rPr>
      </w:pPr>
      <w:r>
        <w:rPr>
          <w:rFonts w:hint="eastAsia"/>
          <w:color w:val="000000"/>
          <w:sz w:val="24"/>
          <w:szCs w:val="24"/>
          <w:highlight w:val="none"/>
          <w:lang w:eastAsia="zh-CN"/>
        </w:rPr>
      </w:r>
      <w:r/>
    </w:p>
    <w:p>
      <w:pPr>
        <w:rPr>
          <w:rFonts w:hint="eastAsia"/>
          <w:color w:val="000000"/>
          <w:sz w:val="24"/>
          <w:szCs w:val="24"/>
          <w:highlight w:val="none"/>
          <w:lang w:eastAsia="zh-CN"/>
        </w:rPr>
      </w:pPr>
      <w:r>
        <w:rPr>
          <w:rFonts w:hint="eastAsia"/>
          <w:color w:val="000000"/>
          <w:sz w:val="24"/>
          <w:szCs w:val="24"/>
          <w:highlight w:val="none"/>
          <w:lang w:eastAsia="zh-CN"/>
        </w:rPr>
      </w:r>
      <w:r/>
    </w:p>
    <w:p>
      <w:pPr>
        <w:rPr>
          <w:rFonts w:hint="eastAsia"/>
          <w:color w:val="000000"/>
          <w:sz w:val="24"/>
          <w:szCs w:val="24"/>
          <w:highlight w:val="none"/>
          <w:lang w:eastAsia="zh-CN"/>
        </w:rPr>
      </w:pPr>
      <w:r>
        <w:rPr>
          <w:rFonts w:hint="eastAsia"/>
          <w:color w:val="000000"/>
          <w:sz w:val="24"/>
          <w:szCs w:val="24"/>
          <w:highlight w:val="none"/>
          <w:lang w:eastAsia="zh-CN"/>
        </w:rPr>
      </w:r>
      <w:r/>
    </w:p>
    <w:p>
      <w:pPr>
        <w:rPr>
          <w:rFonts w:hint="eastAsia"/>
          <w:color w:val="000000"/>
          <w:sz w:val="24"/>
          <w:szCs w:val="24"/>
          <w:highlight w:val="none"/>
          <w:lang w:eastAsia="zh-CN"/>
        </w:rPr>
      </w:pPr>
      <w:r>
        <w:rPr>
          <w:rFonts w:hint="eastAsia"/>
          <w:color w:val="000000"/>
          <w:sz w:val="24"/>
          <w:szCs w:val="24"/>
          <w:highlight w:val="none"/>
          <w:lang w:eastAsia="zh-CN"/>
        </w:rPr>
      </w:r>
      <w:r/>
    </w:p>
    <w:p>
      <w:pPr>
        <w:rPr>
          <w:rFonts w:hint="eastAsia"/>
          <w:color w:val="000000"/>
          <w:sz w:val="24"/>
          <w:szCs w:val="24"/>
          <w:highlight w:val="none"/>
          <w:lang w:eastAsia="zh-CN"/>
        </w:rPr>
      </w:pPr>
      <w:r>
        <w:rPr>
          <w:rFonts w:hint="eastAsia"/>
          <w:color w:val="000000"/>
          <w:sz w:val="24"/>
          <w:szCs w:val="24"/>
          <w:highlight w:val="none"/>
          <w:lang w:eastAsia="zh-CN"/>
        </w:rPr>
      </w:r>
      <w:r/>
    </w:p>
    <w:p>
      <w:pPr>
        <w:rPr>
          <w:rFonts w:hint="eastAsia"/>
          <w:color w:val="000000"/>
          <w:sz w:val="24"/>
          <w:szCs w:val="24"/>
          <w:highlight w:val="none"/>
          <w:lang w:eastAsia="zh-CN"/>
        </w:rPr>
      </w:pPr>
      <w:r>
        <w:rPr>
          <w:rFonts w:hint="eastAsia"/>
          <w:color w:val="000000"/>
          <w:sz w:val="24"/>
          <w:szCs w:val="24"/>
          <w:highlight w:val="none"/>
          <w:lang w:eastAsia="zh-CN"/>
        </w:rPr>
      </w:r>
      <w:r/>
    </w:p>
    <w:p>
      <w:pPr>
        <w:jc w:val="left"/>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附件</w:t>
      </w:r>
      <w:r>
        <w:rPr>
          <w:rFonts w:hint="eastAsia" w:ascii="Times New Roman" w:hAnsi="Times New Roman" w:eastAsia="宋体" w:cs="Times New Roman"/>
          <w:b/>
          <w:color w:val="000000"/>
          <w:sz w:val="24"/>
          <w:highlight w:val="none"/>
          <w:lang w:val="en-US" w:eastAsia="zh-CN"/>
        </w:rPr>
        <w:t xml:space="preserve">三、</w:t>
      </w:r>
      <w:r>
        <w:rPr>
          <w:rFonts w:hint="eastAsia" w:ascii="Times New Roman" w:hAnsi="Times New Roman" w:eastAsia="宋体" w:cs="Times New Roman"/>
          <w:b/>
          <w:color w:val="000000"/>
          <w:sz w:val="24"/>
          <w:highlight w:val="none"/>
        </w:rPr>
        <w:t xml:space="preserve">道路绿化数量统计表</w:t>
      </w:r>
      <w:bookmarkEnd w:id="669"/>
      <w:r/>
      <w:r/>
    </w:p>
    <w:tbl>
      <w:tblPr>
        <w:tblStyle w:val="781"/>
        <w:tblW w:w="8990" w:type="dxa"/>
        <w:jc w:val="center"/>
        <w:tblLayout w:type="autofit"/>
        <w:tblCellMar>
          <w:left w:w="108" w:type="dxa"/>
          <w:top w:w="0" w:type="dxa"/>
          <w:right w:w="108" w:type="dxa"/>
          <w:bottom w:w="0" w:type="dxa"/>
        </w:tblCellMar>
        <w:tblLook w:val="04A0" w:firstRow="1" w:lastRow="0" w:firstColumn="1" w:lastColumn="0" w:noHBand="0" w:noVBand="1"/>
      </w:tblPr>
      <w:tblGrid>
        <w:gridCol w:w="2689"/>
        <w:gridCol w:w="1176"/>
        <w:gridCol w:w="1079"/>
        <w:gridCol w:w="1071"/>
        <w:gridCol w:w="858"/>
        <w:gridCol w:w="854"/>
        <w:gridCol w:w="1263"/>
      </w:tblGrid>
      <w:tr>
        <w:trPr>
          <w:jc w:val="center"/>
          <w:trHeight w:val="348"/>
        </w:trPr>
        <w:tc>
          <w:tcPr>
            <w:tcBorders>
              <w:top w:val="single" w:color="000000" w:sz="4" w:space="0"/>
              <w:left w:val="single" w:color="000000" w:sz="4" w:space="0"/>
              <w:bottom w:val="single" w:color="000000" w:sz="4" w:space="0"/>
              <w:right w:val="single" w:color="000000" w:sz="4" w:space="0"/>
            </w:tcBorders>
            <w:tcW w:w="2689" w:type="dxa"/>
            <w:vAlign w:val="center"/>
            <w:vMerge w:val="restart"/>
            <w:textDirection w:val="lrTb"/>
            <w:noWrap w:val="false"/>
          </w:tcPr>
          <w:p>
            <w:pPr>
              <w:jc w:val="center"/>
              <w:widowControl/>
              <w:rPr>
                <w:rFonts w:ascii="Times New Roman" w:hAnsi="Times New Roman" w:eastAsia="宋体" w:cs="Times New Roman"/>
                <w:b/>
                <w:bCs/>
                <w:sz w:val="24"/>
              </w:rPr>
            </w:pPr>
            <w:r/>
            <w:bookmarkStart w:id="671" w:name="_Toc104818930"/>
            <w:r>
              <w:rPr>
                <w:rFonts w:ascii="Times New Roman" w:hAnsi="Times New Roman" w:eastAsia="宋体" w:cs="Times New Roman"/>
                <w:b/>
                <w:bCs/>
                <w:sz w:val="24"/>
                <w:szCs w:val="24"/>
                <w:lang w:bidi="ar"/>
              </w:rPr>
              <w:t xml:space="preserve">地 点</w:t>
            </w:r>
            <w:r/>
          </w:p>
        </w:tc>
        <w:tc>
          <w:tcPr>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widowControl/>
              <w:rPr>
                <w:rFonts w:ascii="Times New Roman" w:hAnsi="Times New Roman" w:eastAsia="宋体" w:cs="Times New Roman"/>
                <w:b/>
                <w:bCs/>
                <w:sz w:val="24"/>
              </w:rPr>
            </w:pPr>
            <w:r>
              <w:rPr>
                <w:rFonts w:ascii="Times New Roman" w:hAnsi="Times New Roman" w:eastAsia="宋体" w:cs="Times New Roman"/>
                <w:b/>
                <w:bCs/>
                <w:sz w:val="24"/>
                <w:szCs w:val="24"/>
                <w:lang w:bidi="ar"/>
              </w:rPr>
              <w:t xml:space="preserve">草 地（㎡）</w:t>
            </w:r>
            <w:r/>
          </w:p>
        </w:tc>
        <w:tc>
          <w:tcPr>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jc w:val="center"/>
              <w:widowControl/>
              <w:rPr>
                <w:rFonts w:ascii="Times New Roman" w:hAnsi="Times New Roman" w:eastAsia="宋体" w:cs="Times New Roman"/>
                <w:b/>
                <w:bCs/>
                <w:sz w:val="24"/>
              </w:rPr>
            </w:pPr>
            <w:r>
              <w:rPr>
                <w:rFonts w:ascii="Times New Roman" w:hAnsi="Times New Roman" w:eastAsia="宋体" w:cs="Times New Roman"/>
                <w:b/>
                <w:bCs/>
                <w:sz w:val="24"/>
                <w:szCs w:val="24"/>
                <w:lang w:bidi="ar"/>
              </w:rPr>
              <w:t xml:space="preserve">色 块（㎡）</w:t>
            </w:r>
            <w:r/>
          </w:p>
        </w:tc>
        <w:tc>
          <w:tcPr>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jc w:val="center"/>
              <w:widowControl/>
              <w:rPr>
                <w:rFonts w:ascii="Times New Roman" w:hAnsi="Times New Roman" w:eastAsia="宋体" w:cs="Times New Roman"/>
                <w:b/>
                <w:bCs/>
                <w:sz w:val="24"/>
              </w:rPr>
            </w:pPr>
            <w:r>
              <w:rPr>
                <w:rFonts w:ascii="Times New Roman" w:hAnsi="Times New Roman" w:eastAsia="宋体" w:cs="Times New Roman"/>
                <w:b/>
                <w:bCs/>
                <w:sz w:val="24"/>
                <w:szCs w:val="24"/>
                <w:lang w:bidi="ar"/>
              </w:rPr>
              <w:t xml:space="preserve">球 类（㎡)</w:t>
            </w:r>
            <w:r/>
          </w:p>
        </w:tc>
        <w:tc>
          <w:tcPr>
            <w:gridSpan w:val="2"/>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jc w:val="center"/>
              <w:widowControl/>
              <w:rPr>
                <w:rFonts w:ascii="Times New Roman" w:hAnsi="Times New Roman" w:eastAsia="宋体" w:cs="Times New Roman"/>
                <w:b/>
                <w:bCs/>
                <w:sz w:val="24"/>
              </w:rPr>
            </w:pPr>
            <w:r>
              <w:rPr>
                <w:rFonts w:ascii="Times New Roman" w:hAnsi="Times New Roman" w:eastAsia="宋体" w:cs="Times New Roman"/>
                <w:b/>
                <w:bCs/>
                <w:sz w:val="24"/>
                <w:szCs w:val="24"/>
                <w:lang w:bidi="ar"/>
              </w:rPr>
              <w:t xml:space="preserve">乔 木</w:t>
            </w:r>
            <w:r/>
          </w:p>
        </w:tc>
        <w:tc>
          <w:tcPr>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jc w:val="center"/>
              <w:widowControl/>
              <w:rPr>
                <w:rFonts w:ascii="Times New Roman" w:hAnsi="Times New Roman" w:eastAsia="宋体" w:cs="Times New Roman"/>
                <w:b/>
                <w:bCs/>
                <w:sz w:val="24"/>
              </w:rPr>
            </w:pPr>
            <w:r>
              <w:rPr>
                <w:rFonts w:ascii="Times New Roman" w:hAnsi="Times New Roman" w:eastAsia="宋体" w:cs="Times New Roman"/>
                <w:b/>
                <w:bCs/>
                <w:sz w:val="24"/>
                <w:szCs w:val="24"/>
                <w:lang w:bidi="ar"/>
              </w:rPr>
              <w:t xml:space="preserve">养护等级</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2689" w:type="dxa"/>
            <w:vAlign w:val="center"/>
            <w:vMerge w:val="continue"/>
            <w:textDirection w:val="lrTb"/>
            <w:noWrap w:val="false"/>
          </w:tcPr>
          <w:p>
            <w:pPr>
              <w:jc w:val="center"/>
              <w:rPr>
                <w:rFonts w:ascii="Times New Roman" w:hAnsi="Times New Roman" w:eastAsia="宋体" w:cs="Times New Roman"/>
                <w:b/>
                <w:bCs/>
                <w:sz w:val="24"/>
              </w:rPr>
            </w:pPr>
            <w:r>
              <w:rPr>
                <w:rFonts w:ascii="Times New Roman" w:hAnsi="Times New Roman" w:eastAsia="宋体" w:cs="Times New Roman"/>
                <w:b/>
                <w:bCs/>
                <w:sz w:val="24"/>
              </w:rPr>
            </w:r>
            <w:r/>
          </w:p>
        </w:tc>
        <w:tc>
          <w:tcPr>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rPr>
                <w:rFonts w:ascii="Times New Roman" w:hAnsi="Times New Roman" w:eastAsia="宋体" w:cs="Times New Roman"/>
                <w:b/>
                <w:bCs/>
                <w:sz w:val="24"/>
              </w:rPr>
            </w:pPr>
            <w:r>
              <w:rPr>
                <w:rFonts w:ascii="Times New Roman" w:hAnsi="Times New Roman" w:eastAsia="宋体" w:cs="Times New Roman"/>
                <w:b/>
                <w:bCs/>
                <w:sz w:val="24"/>
              </w:rPr>
            </w:r>
            <w:r/>
          </w:p>
        </w:tc>
        <w:tc>
          <w:tcPr>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jc w:val="center"/>
              <w:rPr>
                <w:rFonts w:ascii="Times New Roman" w:hAnsi="Times New Roman" w:eastAsia="宋体" w:cs="Times New Roman"/>
                <w:b/>
                <w:bCs/>
                <w:sz w:val="24"/>
              </w:rPr>
            </w:pPr>
            <w:r>
              <w:rPr>
                <w:rFonts w:ascii="Times New Roman" w:hAnsi="Times New Roman" w:eastAsia="宋体" w:cs="Times New Roman"/>
                <w:b/>
                <w:bCs/>
                <w:sz w:val="24"/>
              </w:rPr>
            </w:r>
            <w:r/>
          </w:p>
        </w:tc>
        <w:tc>
          <w:tcPr>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center"/>
              <w:rPr>
                <w:rFonts w:ascii="Times New Roman" w:hAnsi="Times New Roman" w:eastAsia="宋体" w:cs="Times New Roman"/>
                <w:b/>
                <w:bCs/>
                <w:sz w:val="24"/>
              </w:rPr>
            </w:pPr>
            <w:r>
              <w:rPr>
                <w:rFonts w:ascii="Times New Roman" w:hAnsi="Times New Roman" w:eastAsia="宋体" w:cs="Times New Roman"/>
                <w:b/>
                <w:bCs/>
                <w:sz w:val="24"/>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b/>
                <w:bCs/>
                <w:sz w:val="24"/>
              </w:rPr>
            </w:pPr>
            <w:r>
              <w:rPr>
                <w:rFonts w:ascii="Times New Roman" w:hAnsi="Times New Roman" w:eastAsia="宋体" w:cs="Times New Roman"/>
                <w:b/>
                <w:bCs/>
                <w:sz w:val="24"/>
                <w:szCs w:val="24"/>
                <w:lang w:bidi="ar"/>
              </w:rPr>
              <w:t xml:space="preserve">大</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eastAsia="宋体" w:cs="Times New Roman"/>
                <w:b/>
                <w:bCs/>
                <w:sz w:val="24"/>
              </w:rPr>
            </w:pPr>
            <w:r>
              <w:rPr>
                <w:rFonts w:ascii="Times New Roman" w:hAnsi="Times New Roman" w:eastAsia="宋体" w:cs="Times New Roman"/>
                <w:b/>
                <w:bCs/>
                <w:sz w:val="24"/>
                <w:szCs w:val="24"/>
                <w:lang w:bidi="ar"/>
              </w:rPr>
              <w:t xml:space="preserve">小</w:t>
            </w:r>
            <w:r/>
          </w:p>
        </w:tc>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jc w:val="center"/>
              <w:rPr>
                <w:rFonts w:ascii="Times New Roman" w:hAnsi="Times New Roman" w:eastAsia="宋体" w:cs="Times New Roman"/>
                <w:b/>
                <w:bCs/>
                <w:sz w:val="24"/>
              </w:rPr>
            </w:pPr>
            <w:r>
              <w:rPr>
                <w:rFonts w:ascii="Times New Roman" w:hAnsi="Times New Roman" w:eastAsia="宋体" w:cs="Times New Roman"/>
                <w:b/>
                <w:bCs/>
                <w:sz w:val="24"/>
              </w:rPr>
            </w:r>
            <w:r/>
          </w:p>
        </w:tc>
      </w:tr>
      <w:tr>
        <w:trPr>
          <w:jc w:val="center"/>
          <w:trHeight w:val="696"/>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bCs/>
                <w:color w:val="auto"/>
                <w:sz w:val="24"/>
              </w:rPr>
            </w:pPr>
            <w:r>
              <w:rPr>
                <w:rFonts w:ascii="Times New Roman" w:hAnsi="Times New Roman" w:eastAsia="宋体" w:cs="Times New Roman"/>
                <w:bCs/>
                <w:color w:val="auto"/>
                <w:sz w:val="24"/>
                <w:szCs w:val="24"/>
                <w:lang w:bidi="ar"/>
              </w:rPr>
              <w:t xml:space="preserve">镇政府内</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7380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3336</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b/>
                <w:bCs/>
                <w:color w:val="auto"/>
                <w:sz w:val="24"/>
              </w:rPr>
            </w:pPr>
            <w:r>
              <w:rPr>
                <w:rFonts w:ascii="Times New Roman" w:hAnsi="Times New Roman" w:eastAsia="宋体" w:cs="Times New Roman"/>
                <w:b/>
                <w:bCs/>
                <w:color w:val="auto"/>
                <w:sz w:val="24"/>
                <w:szCs w:val="24"/>
                <w:lang w:bidi="ar"/>
              </w:rPr>
              <w:t xml:space="preserve">一级</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bCs/>
                <w:color w:val="auto"/>
                <w:sz w:val="24"/>
              </w:rPr>
            </w:pPr>
            <w:r>
              <w:rPr>
                <w:rFonts w:ascii="Times New Roman" w:hAnsi="Times New Roman" w:eastAsia="宋体" w:cs="Times New Roman"/>
                <w:bCs/>
                <w:color w:val="auto"/>
                <w:sz w:val="24"/>
                <w:szCs w:val="24"/>
                <w:lang w:bidi="ar"/>
              </w:rPr>
              <w:t xml:space="preserve">239绿化节点</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33610.9</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b/>
                <w:bCs/>
                <w:color w:val="auto"/>
                <w:sz w:val="24"/>
              </w:rPr>
            </w:pPr>
            <w:r>
              <w:rPr>
                <w:rFonts w:ascii="Times New Roman" w:hAnsi="Times New Roman" w:eastAsia="宋体" w:cs="Times New Roman"/>
                <w:b/>
                <w:bCs/>
                <w:color w:val="auto"/>
                <w:sz w:val="24"/>
                <w:szCs w:val="24"/>
                <w:lang w:bidi="ar"/>
              </w:rPr>
              <w:t xml:space="preserve">一级</w:t>
            </w:r>
            <w:r/>
          </w:p>
        </w:tc>
      </w:tr>
      <w:tr>
        <w:trPr>
          <w:jc w:val="center"/>
          <w:trHeight w:val="696"/>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上黄河古街道牌楼、生产桥东</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1586</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南环中路、南大街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1666</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前小村、桥北三个公园</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3160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696"/>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扬子东路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20708</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扬子中路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696"/>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曙猿路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21462</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37985</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1208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山水公园（玕西公园）</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10432</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1286</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北环路西—飞跃路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工业园区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8365</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名城路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4072</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法兴寺路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3731</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学府路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553.5</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517.5</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南环路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133.2</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上河路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邮电路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上林路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3564</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3506.5</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变电所</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5636</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2024</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曙猿公园</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34017</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rPr>
              <w:t xml:space="preserve">国土局</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rPr>
              <w:t xml:space="preserve">641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szCs w:val="24"/>
              </w:rPr>
              <w:t xml:space="preserve">44.3</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b/>
                <w:bCs/>
                <w:color w:val="auto"/>
                <w:sz w:val="24"/>
              </w:rPr>
            </w:pPr>
            <w:r>
              <w:rPr>
                <w:rFonts w:ascii="Times New Roman" w:hAnsi="Times New Roman" w:eastAsia="宋体" w:cs="Times New Roman"/>
                <w:color w:val="auto"/>
                <w:sz w:val="24"/>
                <w:szCs w:val="24"/>
              </w:rPr>
              <w:t xml:space="preserve">飞跃广场</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rPr>
              <w:t xml:space="preserve">1816.8</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szCs w:val="24"/>
              </w:rPr>
              <w:t xml:space="preserve">356.8</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rPr>
              <w:t xml:space="preserve">颂园公园</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rPr>
              <w:t xml:space="preserve">964.5</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rPr>
              <w:t xml:space="preserve">153.3</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left"/>
              <w:widowControl/>
              <w:rPr>
                <w:rFonts w:ascii="Times New Roman" w:hAnsi="Times New Roman" w:eastAsia="宋体" w:cs="Times New Roman"/>
                <w:color w:val="auto"/>
                <w:sz w:val="24"/>
                <w:lang w:bidi="ar"/>
              </w:rPr>
            </w:pPr>
            <w:r>
              <w:rPr>
                <w:rFonts w:ascii="Times New Roman" w:hAnsi="Times New Roman" w:eastAsia="宋体" w:cs="Times New Roman"/>
                <w:color w:val="auto"/>
                <w:sz w:val="24"/>
                <w:szCs w:val="24"/>
                <w:lang w:bidi="ar"/>
              </w:rPr>
              <w:t xml:space="preserve">湿地公园大门至曙猿桥</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lang w:bidi="ar"/>
              </w:rPr>
            </w:pPr>
            <w:r>
              <w:rPr>
                <w:rFonts w:ascii="Times New Roman" w:hAnsi="Times New Roman" w:eastAsia="宋体" w:cs="Times New Roman"/>
                <w:color w:val="auto"/>
                <w:sz w:val="24"/>
                <w:szCs w:val="24"/>
                <w:lang w:bidi="ar"/>
              </w:rPr>
              <w:t xml:space="preserve">220</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lang w:bidi="ar"/>
              </w:rPr>
            </w:pPr>
            <w:r>
              <w:rPr>
                <w:rFonts w:ascii="Times New Roman" w:hAnsi="Times New Roman" w:eastAsia="宋体" w:cs="Times New Roman"/>
                <w:color w:val="auto"/>
                <w:sz w:val="24"/>
                <w:szCs w:val="24"/>
                <w:lang w:bidi="ar"/>
              </w:rPr>
              <w:t xml:space="preserve">986.5</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lang w:bidi="ar"/>
              </w:rPr>
            </w:pPr>
            <w:r>
              <w:rPr>
                <w:rFonts w:ascii="Times New Roman" w:hAnsi="Times New Roman" w:eastAsia="宋体" w:cs="Times New Roman"/>
                <w:color w:val="auto"/>
                <w:sz w:val="24"/>
                <w:lang w:bidi="ar"/>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lang w:bidi="ar"/>
              </w:rPr>
            </w:pPr>
            <w:r>
              <w:rPr>
                <w:rFonts w:ascii="Times New Roman" w:hAnsi="Times New Roman" w:eastAsia="宋体" w:cs="Times New Roman"/>
                <w:color w:val="auto"/>
                <w:sz w:val="24"/>
                <w:lang w:bidi="ar"/>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eastAsia="宋体" w:cs="Times New Roman"/>
                <w:color w:val="auto"/>
                <w:sz w:val="24"/>
                <w:lang w:bidi="ar"/>
              </w:rPr>
            </w:pPr>
            <w:r>
              <w:rPr>
                <w:rFonts w:ascii="Times New Roman" w:hAnsi="Times New Roman" w:eastAsia="宋体" w:cs="Times New Roman"/>
                <w:color w:val="auto"/>
                <w:sz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二级</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268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rPr>
              <w:t xml:space="preserve">183233.7</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rPr>
              <w:t xml:space="preserve">55123.1</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1353</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4605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Times New Roman" w:hAnsi="Times New Roman" w:eastAsia="宋体" w:cs="Times New Roman"/>
                <w:color w:val="auto"/>
                <w:sz w:val="24"/>
              </w:rPr>
            </w:pPr>
            <w:r>
              <w:rPr>
                <w:rFonts w:ascii="Times New Roman" w:hAnsi="Times New Roman" w:eastAsia="宋体" w:cs="Times New Roman"/>
                <w:color w:val="auto"/>
                <w:sz w:val="24"/>
                <w:szCs w:val="24"/>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rPr>
                <w:rFonts w:ascii="Times New Roman" w:hAnsi="Times New Roman" w:eastAsia="宋体" w:cs="Times New Roman"/>
                <w:color w:val="auto"/>
                <w:sz w:val="24"/>
              </w:rPr>
            </w:pPr>
            <w:r>
              <w:rPr>
                <w:rFonts w:ascii="Times New Roman" w:hAnsi="Times New Roman" w:eastAsia="宋体" w:cs="Times New Roman"/>
                <w:color w:val="auto"/>
                <w:sz w:val="24"/>
              </w:rPr>
            </w:r>
            <w:r/>
          </w:p>
        </w:tc>
      </w:tr>
    </w:tbl>
    <w:p>
      <w:pPr>
        <w:rPr>
          <w:b/>
          <w:color w:val="000000"/>
          <w:sz w:val="36"/>
          <w:szCs w:val="36"/>
          <w:highlight w:val="none"/>
        </w:rPr>
      </w:pPr>
      <w:r>
        <w:rPr>
          <w:b/>
          <w:color w:val="000000"/>
          <w:sz w:val="36"/>
          <w:szCs w:val="36"/>
          <w:highlight w:val="none"/>
        </w:rPr>
        <w:br w:type="page" w:clear="all"/>
      </w:r>
      <w:r/>
    </w:p>
    <w:p>
      <w:pPr>
        <w:jc w:val="center"/>
        <w:spacing w:line="360" w:lineRule="auto"/>
        <w:rPr>
          <w:b/>
          <w:color w:val="000000"/>
          <w:sz w:val="36"/>
          <w:szCs w:val="36"/>
          <w:highlight w:val="none"/>
        </w:rPr>
        <w:outlineLvl w:val="0"/>
      </w:pPr>
      <w:r>
        <w:rPr>
          <w:b/>
          <w:color w:val="000000"/>
          <w:sz w:val="36"/>
          <w:szCs w:val="36"/>
          <w:highlight w:val="none"/>
        </w:rPr>
        <w:t xml:space="preserve">第六章   响应文件格式</w:t>
      </w:r>
      <w:bookmarkEnd w:id="671"/>
      <w:r/>
      <w:r/>
    </w:p>
    <w:p>
      <w:pPr>
        <w:jc w:val="left"/>
        <w:spacing w:line="360" w:lineRule="auto"/>
        <w:widowControl/>
        <w:rPr>
          <w:b/>
          <w:color w:val="000000"/>
          <w:sz w:val="24"/>
          <w:highlight w:val="none"/>
        </w:rPr>
      </w:pPr>
      <w:r>
        <w:rPr>
          <w:b/>
          <w:color w:val="000000"/>
          <w:sz w:val="24"/>
          <w:highlight w:val="none"/>
        </w:rPr>
      </w:r>
      <w:r/>
    </w:p>
    <w:p>
      <w:pPr>
        <w:jc w:val="left"/>
        <w:spacing w:line="360" w:lineRule="auto"/>
        <w:widowControl/>
        <w:rPr>
          <w:b/>
          <w:color w:val="000000"/>
          <w:sz w:val="24"/>
          <w:highlight w:val="none"/>
        </w:rPr>
      </w:pPr>
      <w:r>
        <w:rPr>
          <w:b/>
          <w:color w:val="000000"/>
          <w:sz w:val="24"/>
          <w:highlight w:val="none"/>
        </w:rPr>
      </w:r>
      <w:r/>
    </w:p>
    <w:p>
      <w:pPr>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p>
    <w:p>
      <w:pPr>
        <w:ind w:left="142"/>
        <w:spacing w:line="360" w:lineRule="auto"/>
        <w:tabs>
          <w:tab w:val="left" w:pos="900" w:leader="none"/>
          <w:tab w:val="left" w:pos="1980" w:leader="none"/>
        </w:tabs>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br w:type="page" w:clear="all"/>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
    </w:p>
    <w:p>
      <w:pPr>
        <w:rPr>
          <w:b/>
          <w:color w:val="000000"/>
          <w:spacing w:val="20"/>
          <w:szCs w:val="21"/>
          <w:highlight w:val="none"/>
        </w:rPr>
      </w:pPr>
      <w:r>
        <w:rPr>
          <w:b/>
          <w:color w:val="000000"/>
          <w:spacing w:val="20"/>
          <w:szCs w:val="21"/>
          <w:highlight w:val="none"/>
        </w:rPr>
      </w:r>
      <w:r/>
    </w:p>
    <w:p>
      <w:pPr>
        <w:rPr>
          <w:b/>
          <w:color w:val="000000"/>
          <w:sz w:val="24"/>
          <w:highlight w:val="none"/>
        </w:rPr>
      </w:pPr>
      <w:r>
        <w:rPr>
          <w:b/>
          <w:color w:val="000000"/>
          <w:spacing w:val="20"/>
          <w:sz w:val="24"/>
          <w:highlight w:val="none"/>
        </w:rPr>
        <w:t xml:space="preserve">响应文件</w:t>
      </w:r>
      <w:r>
        <w:rPr>
          <w:b/>
          <w:color w:val="000000"/>
          <w:sz w:val="24"/>
          <w:highlight w:val="none"/>
        </w:rPr>
        <w:t xml:space="preserve">封面（非实质性格式）</w:t>
      </w:r>
      <w:r/>
    </w:p>
    <w:p>
      <w:pPr>
        <w:jc w:val="center"/>
        <w:rPr>
          <w:color w:val="000000"/>
          <w:szCs w:val="21"/>
          <w:highlight w:val="none"/>
        </w:rPr>
      </w:pPr>
      <w:r>
        <w:rPr>
          <w:color w:val="000000"/>
          <w:szCs w:val="21"/>
          <w:highlight w:val="none"/>
        </w:rPr>
      </w:r>
      <w:r/>
    </w:p>
    <w:p>
      <w:pPr>
        <w:jc w:val="center"/>
        <w:rPr>
          <w:b/>
          <w:color w:val="000000"/>
          <w:spacing w:val="60"/>
          <w:sz w:val="84"/>
          <w:szCs w:val="84"/>
          <w:highlight w:val="none"/>
        </w:rPr>
      </w:pPr>
      <w:r>
        <w:rPr>
          <w:b/>
          <w:color w:val="000000"/>
          <w:spacing w:val="60"/>
          <w:sz w:val="84"/>
          <w:szCs w:val="84"/>
          <w:highlight w:val="none"/>
        </w:rPr>
        <w:t xml:space="preserve">响 应 文 件</w:t>
      </w:r>
      <w:r/>
    </w:p>
    <w:p>
      <w:pPr>
        <w:jc w:val="center"/>
        <w:rPr>
          <w:b/>
          <w:color w:val="000000"/>
          <w:spacing w:val="60"/>
          <w:sz w:val="52"/>
          <w:szCs w:val="52"/>
          <w:highlight w:val="none"/>
        </w:rPr>
      </w:pPr>
      <w:r>
        <w:rPr>
          <w:b/>
          <w:color w:val="000000"/>
          <w:spacing w:val="60"/>
          <w:sz w:val="52"/>
          <w:szCs w:val="52"/>
          <w:highlight w:val="none"/>
        </w:rPr>
      </w:r>
      <w:r/>
    </w:p>
    <w:p>
      <w:pPr>
        <w:ind w:firstLine="542"/>
        <w:rPr>
          <w:b/>
          <w:color w:val="000000"/>
          <w:spacing w:val="20"/>
          <w:sz w:val="32"/>
          <w:szCs w:val="32"/>
          <w:highlight w:val="none"/>
        </w:rPr>
      </w:pPr>
      <w:r>
        <w:rPr>
          <w:b/>
          <w:color w:val="000000"/>
          <w:spacing w:val="20"/>
          <w:sz w:val="32"/>
          <w:szCs w:val="32"/>
          <w:highlight w:val="none"/>
        </w:rPr>
      </w:r>
      <w:r/>
    </w:p>
    <w:p>
      <w:pPr>
        <w:ind w:firstLine="542"/>
        <w:rPr>
          <w:b/>
          <w:color w:val="000000"/>
          <w:spacing w:val="20"/>
          <w:sz w:val="32"/>
          <w:szCs w:val="32"/>
          <w:highlight w:val="none"/>
        </w:rPr>
      </w:pPr>
      <w:r>
        <w:rPr>
          <w:b/>
          <w:color w:val="000000"/>
          <w:spacing w:val="20"/>
          <w:sz w:val="32"/>
          <w:szCs w:val="32"/>
          <w:highlight w:val="none"/>
        </w:rPr>
      </w:r>
      <w:r/>
    </w:p>
    <w:p>
      <w:pPr>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p>
    <w:p>
      <w:pPr>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p>
    <w:p>
      <w:pPr>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jc w:val="center"/>
        <w:rPr>
          <w:b/>
          <w:color w:val="000000"/>
          <w:sz w:val="32"/>
          <w:szCs w:val="32"/>
          <w:highlight w:val="none"/>
        </w:rPr>
      </w:pPr>
      <w:r>
        <w:rPr>
          <w:b/>
          <w:color w:val="000000"/>
          <w:sz w:val="32"/>
          <w:szCs w:val="32"/>
          <w:highlight w:val="none"/>
        </w:rPr>
      </w:r>
      <w:r/>
    </w:p>
    <w:p>
      <w:pPr>
        <w:rPr>
          <w:b/>
          <w:color w:val="000000"/>
          <w:highlight w:val="none"/>
        </w:rPr>
      </w:pPr>
      <w:r>
        <w:rPr>
          <w:b/>
          <w:color w:val="000000"/>
          <w:spacing w:val="20"/>
          <w:sz w:val="32"/>
          <w:szCs w:val="32"/>
          <w:highlight w:val="none"/>
        </w:rPr>
        <w:br w:type="page" w:clear="all"/>
      </w:r>
      <w:r/>
    </w:p>
    <w:p>
      <w:pPr>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p>
    <w:p>
      <w:pPr>
        <w:pStyle w:val="804"/>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bCs/>
          <w:color w:val="000000"/>
          <w:highlight w:val="none"/>
          <w:u w:val="none"/>
        </w:rPr>
        <w:t xml:space="preserve">（实质性格式）</w:t>
      </w:r>
      <w:r/>
    </w:p>
    <w:p>
      <w:pPr>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p>
    <w:p>
      <w:pPr>
        <w:pStyle w:val="972"/>
        <w:ind w:firstLine="480"/>
        <w:spacing w:line="460" w:lineRule="exact"/>
        <w:rPr>
          <w:color w:val="000000"/>
          <w:highlight w:val="none"/>
        </w:rPr>
      </w:pPr>
      <w:r>
        <w:rPr>
          <w:color w:val="000000"/>
          <w:highlight w:val="none"/>
        </w:rPr>
      </w:r>
      <w:r/>
    </w:p>
    <w:p>
      <w:pPr>
        <w:pStyle w:val="972"/>
        <w:ind w:firstLine="480"/>
        <w:spacing w:line="460" w:lineRule="exact"/>
        <w:rPr>
          <w:rFonts w:eastAsia="宋体"/>
          <w:color w:val="000000"/>
          <w:highlight w:val="none"/>
          <w:lang w:val="en-US" w:eastAsia="en-US"/>
        </w:rPr>
      </w:pPr>
      <w:r>
        <w:rPr>
          <w:rFonts w:hint="eastAsia"/>
          <w:color w:val="000000"/>
          <w:highlight w:val="none"/>
        </w:rPr>
        <w:t xml:space="preserve">致：</w:t>
      </w:r>
      <w:r>
        <w:rPr>
          <w:rFonts w:hint="eastAsia"/>
          <w:color w:val="000000"/>
          <w:highlight w:val="none"/>
          <w:lang w:val="en-US" w:eastAsia="en-US"/>
        </w:rPr>
        <w:t xml:space="preserve">溧阳众邦工程项目管理有限公司</w:t>
      </w:r>
      <w:r/>
    </w:p>
    <w:p>
      <w:pPr>
        <w:pStyle w:val="972"/>
        <w:ind w:firstLine="960"/>
        <w:spacing w:line="460" w:lineRule="exact"/>
        <w:rPr>
          <w:color w:val="000000"/>
          <w:highlight w:val="none"/>
          <w:u w:val="single"/>
        </w:rPr>
      </w:pPr>
      <w:r>
        <w:rPr>
          <w:rFonts w:hint="eastAsia"/>
          <w:color w:val="000000"/>
          <w:highlight w:val="none"/>
          <w:u w:val="single"/>
        </w:rPr>
        <w:t xml:space="preserve">（采购人名称）</w:t>
      </w:r>
      <w:r/>
    </w:p>
    <w:p>
      <w:pPr>
        <w:pStyle w:val="972"/>
        <w:ind w:firstLine="480"/>
        <w:spacing w:line="460" w:lineRule="exact"/>
        <w:rPr>
          <w:color w:val="000000"/>
          <w:highlight w:val="none"/>
        </w:rPr>
      </w:pPr>
      <w:r>
        <w:rPr>
          <w:color w:val="000000"/>
          <w:highlight w:val="none"/>
        </w:rPr>
      </w:r>
      <w:r/>
    </w:p>
    <w:p>
      <w:pPr>
        <w:pStyle w:val="972"/>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p>
    <w:p>
      <w:pPr>
        <w:pStyle w:val="972"/>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p>
    <w:p>
      <w:pPr>
        <w:pStyle w:val="972"/>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p>
    <w:p>
      <w:pPr>
        <w:pStyle w:val="972"/>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p>
    <w:p>
      <w:pPr>
        <w:pStyle w:val="972"/>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p>
    <w:p>
      <w:pPr>
        <w:pStyle w:val="972"/>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p>
    <w:p>
      <w:pPr>
        <w:pStyle w:val="972"/>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p>
    <w:p>
      <w:pPr>
        <w:pStyle w:val="972"/>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p>
    <w:p>
      <w:pPr>
        <w:pStyle w:val="972"/>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72"/>
        <w:ind w:firstLine="480"/>
        <w:spacing w:line="460" w:lineRule="exact"/>
        <w:rPr>
          <w:color w:val="000000"/>
          <w:highlight w:val="none"/>
        </w:rPr>
      </w:pPr>
      <w:r>
        <w:rPr>
          <w:rFonts w:hint="eastAsia"/>
          <w:color w:val="000000"/>
          <w:highlight w:val="none"/>
        </w:rPr>
        <w:t xml:space="preserve">七、我单位具备法律、行政法规规定的其他条件。</w:t>
      </w:r>
      <w:r/>
    </w:p>
    <w:p>
      <w:pPr>
        <w:pStyle w:val="972"/>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p>
    <w:p>
      <w:pPr>
        <w:pStyle w:val="972"/>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p>
    <w:p>
      <w:pPr>
        <w:pStyle w:val="972"/>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p>
    <w:p>
      <w:pPr>
        <w:pStyle w:val="972"/>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p>
    <w:p>
      <w:pPr>
        <w:pStyle w:val="972"/>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不属于为本项目提供整体设计、规范编制或者项目管理、监理、检测等服务的供应商。</w:t>
      </w:r>
      <w:r/>
    </w:p>
    <w:p>
      <w:pPr>
        <w:pStyle w:val="972"/>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p>
    <w:p>
      <w:pPr>
        <w:pStyle w:val="972"/>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p>
    <w:p>
      <w:pPr>
        <w:pStyle w:val="972"/>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p>
    <w:p>
      <w:pPr>
        <w:pStyle w:val="972"/>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p>
    <w:p>
      <w:pPr>
        <w:pStyle w:val="972"/>
        <w:ind w:firstLine="480"/>
        <w:spacing w:line="460" w:lineRule="exact"/>
        <w:rPr>
          <w:color w:val="000000"/>
          <w:highlight w:val="none"/>
        </w:rPr>
      </w:pPr>
      <w:r>
        <w:rPr>
          <w:color w:val="000000"/>
          <w:highlight w:val="none"/>
        </w:rPr>
      </w:r>
      <w:r/>
    </w:p>
    <w:p>
      <w:pPr>
        <w:pStyle w:val="972"/>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p>
    <w:p>
      <w:pPr>
        <w:pStyle w:val="972"/>
        <w:ind w:firstLine="480"/>
        <w:spacing w:line="460" w:lineRule="exact"/>
        <w:rPr>
          <w:color w:val="000000"/>
          <w:highlight w:val="none"/>
        </w:rPr>
      </w:pPr>
      <w:r>
        <w:rPr>
          <w:color w:val="000000"/>
          <w:highlight w:val="none"/>
        </w:rPr>
      </w:r>
      <w:r/>
    </w:p>
    <w:p>
      <w:pPr>
        <w:pStyle w:val="972"/>
        <w:ind w:firstLine="480"/>
        <w:spacing w:line="460" w:lineRule="exact"/>
        <w:rPr>
          <w:color w:val="000000"/>
          <w:highlight w:val="none"/>
        </w:rPr>
      </w:pPr>
      <w:r>
        <w:rPr>
          <w:color w:val="000000"/>
          <w:highlight w:val="none"/>
        </w:rPr>
      </w:r>
      <w:r/>
    </w:p>
    <w:p>
      <w:pPr>
        <w:pStyle w:val="972"/>
        <w:ind w:firstLine="480"/>
        <w:spacing w:line="460" w:lineRule="exact"/>
        <w:rPr>
          <w:color w:val="000000"/>
          <w:highlight w:val="none"/>
        </w:rPr>
      </w:pPr>
      <w:r>
        <w:rPr>
          <w:rFonts w:hint="eastAsia"/>
          <w:color w:val="000000"/>
          <w:highlight w:val="none"/>
        </w:rPr>
        <w:t xml:space="preserve">                                            供应商：（加盖公章）</w:t>
      </w:r>
      <w:r/>
    </w:p>
    <w:p>
      <w:pPr>
        <w:pStyle w:val="972"/>
        <w:ind w:firstLine="480"/>
        <w:spacing w:line="460" w:lineRule="exact"/>
        <w:rPr>
          <w:color w:val="000000"/>
          <w:highlight w:val="none"/>
        </w:rPr>
      </w:pPr>
      <w:r>
        <w:rPr>
          <w:rFonts w:hint="eastAsia"/>
          <w:color w:val="000000"/>
          <w:highlight w:val="none"/>
        </w:rPr>
        <w:t xml:space="preserve">                                           法定代表人（或单位负责人）签字或盖章：</w:t>
      </w:r>
      <w:r/>
    </w:p>
    <w:p>
      <w:pPr>
        <w:pStyle w:val="972"/>
        <w:ind w:firstLine="4920"/>
        <w:spacing w:line="460" w:lineRule="exact"/>
        <w:rPr>
          <w:rFonts w:hint="eastAsia"/>
          <w:color w:val="000000"/>
          <w:highlight w:val="none"/>
        </w:rPr>
      </w:pPr>
      <w:r>
        <w:rPr>
          <w:rFonts w:hint="eastAsia"/>
          <w:color w:val="000000"/>
          <w:highlight w:val="none"/>
        </w:rPr>
        <w:t xml:space="preserve">日期：    年    月    日</w:t>
      </w:r>
      <w:r/>
    </w:p>
    <w:p>
      <w:pPr>
        <w:spacing w:line="360" w:lineRule="auto"/>
        <w:rPr>
          <w:rFonts w:hint="eastAsia"/>
          <w:color w:val="000000"/>
          <w:sz w:val="24"/>
          <w:highlight w:val="none"/>
        </w:rPr>
      </w:pPr>
      <w:r>
        <w:rPr>
          <w:rFonts w:hint="eastAsia"/>
          <w:color w:val="000000"/>
          <w:sz w:val="24"/>
          <w:highlight w:val="none"/>
        </w:rPr>
      </w:r>
      <w:r/>
    </w:p>
    <w:p>
      <w:pPr>
        <w:spacing w:line="360" w:lineRule="auto"/>
        <w:rPr>
          <w:rFonts w:hint="eastAsia"/>
          <w:color w:val="000000"/>
          <w:sz w:val="24"/>
          <w:highlight w:val="none"/>
        </w:rPr>
      </w:pPr>
      <w:r>
        <w:rPr>
          <w:rFonts w:hint="eastAsia"/>
          <w:color w:val="000000"/>
          <w:sz w:val="24"/>
          <w:highlight w:val="none"/>
        </w:rPr>
      </w:r>
      <w:r/>
    </w:p>
    <w:p>
      <w:pPr>
        <w:spacing w:line="360" w:lineRule="auto"/>
        <w:rPr>
          <w:rFonts w:hint="eastAsia"/>
          <w:color w:val="000000"/>
          <w:sz w:val="24"/>
          <w:highlight w:val="none"/>
        </w:rPr>
      </w:pPr>
      <w:r>
        <w:rPr>
          <w:rFonts w:hint="eastAsia"/>
          <w:color w:val="000000"/>
          <w:sz w:val="24"/>
          <w:highlight w:val="none"/>
        </w:rPr>
      </w:r>
      <w:r/>
    </w:p>
    <w:p>
      <w:pPr>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p>
    <w:p>
      <w:pPr>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p>
    <w:p>
      <w:pPr>
        <w:spacing w:line="360" w:lineRule="auto"/>
        <w:rPr>
          <w:color w:val="000000"/>
          <w:sz w:val="24"/>
          <w:szCs w:val="20"/>
          <w:highlight w:val="none"/>
        </w:rPr>
        <w:outlineLvl w:val="2"/>
      </w:pPr>
      <w:r>
        <w:rPr>
          <w:color w:val="000000"/>
          <w:sz w:val="24"/>
          <w:szCs w:val="20"/>
          <w:highlight w:val="none"/>
        </w:rPr>
        <w:t xml:space="preserve">2-1 中小企业声明函</w:t>
      </w:r>
      <w:r/>
    </w:p>
    <w:p>
      <w:pPr>
        <w:spacing w:line="360" w:lineRule="auto"/>
        <w:tabs>
          <w:tab w:val="left" w:pos="5580" w:leader="none"/>
        </w:tabs>
        <w:rPr>
          <w:color w:val="000000"/>
          <w:sz w:val="24"/>
          <w:highlight w:val="none"/>
        </w:rPr>
      </w:pPr>
      <w:r>
        <w:rPr>
          <w:color w:val="000000"/>
          <w:sz w:val="24"/>
          <w:highlight w:val="none"/>
        </w:rPr>
      </w:r>
      <w:r/>
    </w:p>
    <w:p>
      <w:pPr>
        <w:spacing w:line="360" w:lineRule="auto"/>
        <w:tabs>
          <w:tab w:val="left" w:pos="5580" w:leader="none"/>
        </w:tabs>
        <w:rPr>
          <w:color w:val="000000"/>
          <w:sz w:val="24"/>
          <w:highlight w:val="none"/>
        </w:rPr>
      </w:pPr>
      <w:r>
        <w:rPr>
          <w:color w:val="000000"/>
          <w:sz w:val="24"/>
          <w:highlight w:val="none"/>
        </w:rPr>
        <w:t xml:space="preserve">说明：</w:t>
      </w:r>
      <w:r/>
    </w:p>
    <w:p>
      <w:pPr>
        <w:spacing w:line="360" w:lineRule="auto"/>
        <w:tabs>
          <w:tab w:val="left" w:pos="5580" w:leader="none"/>
        </w:tabs>
        <w:rPr>
          <w:color w:val="000000"/>
          <w:sz w:val="24"/>
          <w:highlight w:val="none"/>
        </w:rPr>
      </w:pPr>
      <w:r>
        <w:rPr>
          <w:color w:val="000000"/>
          <w:sz w:val="24"/>
          <w:highlight w:val="none"/>
        </w:rPr>
        <w:t xml:space="preserve">（1）如本项目（包）不专门面向中小企业预留采购份额，</w:t>
      </w:r>
      <w:r>
        <w:rPr>
          <w:rFonts w:hint="eastAsia"/>
          <w:color w:val="000000"/>
          <w:sz w:val="24"/>
          <w:highlight w:val="none"/>
        </w:rPr>
        <w:t xml:space="preserve">供应商非必须</w:t>
      </w:r>
      <w:r>
        <w:rPr>
          <w:color w:val="000000"/>
          <w:sz w:val="24"/>
          <w:highlight w:val="none"/>
        </w:rPr>
        <w:t xml:space="preserve">提供</w:t>
      </w:r>
      <w:r>
        <w:rPr>
          <w:rFonts w:hint="eastAsia"/>
          <w:color w:val="000000"/>
          <w:sz w:val="24"/>
          <w:highlight w:val="none"/>
        </w:rPr>
        <w:t xml:space="preserve">；当小微企业拟享受中小企业扶持政策时，仍应提供</w:t>
      </w:r>
      <w:r>
        <w:rPr>
          <w:color w:val="000000"/>
          <w:sz w:val="24"/>
          <w:highlight w:val="none"/>
        </w:rPr>
        <w:t xml:space="preserve">《中小企业声明函》</w:t>
      </w:r>
      <w:r>
        <w:rPr>
          <w:rFonts w:hint="eastAsia"/>
          <w:color w:val="000000"/>
          <w:sz w:val="24"/>
          <w:highlight w:val="none"/>
        </w:rPr>
        <w:t xml:space="preserve">，</w:t>
      </w:r>
      <w:r>
        <w:rPr>
          <w:color w:val="000000"/>
          <w:sz w:val="24"/>
          <w:highlight w:val="none"/>
        </w:rPr>
        <w:t xml:space="preserve">否则不得享受相关中小企业扶持政策。</w:t>
      </w:r>
      <w:r/>
    </w:p>
    <w:p>
      <w:pPr>
        <w:spacing w:line="360" w:lineRule="auto"/>
        <w:tabs>
          <w:tab w:val="left" w:pos="5580" w:leader="none"/>
        </w:tabs>
        <w:rPr>
          <w:color w:val="000000"/>
          <w:sz w:val="24"/>
          <w:highlight w:val="none"/>
        </w:rPr>
      </w:pPr>
      <w:r>
        <w:rPr>
          <w:color w:val="000000"/>
          <w:sz w:val="24"/>
          <w:highlight w:val="none"/>
        </w:rPr>
        <w:t xml:space="preserve">（2）如本项目（包）专门面向中小/小微企业采购，须提供《中小企业声明函》</w:t>
      </w:r>
      <w:r>
        <w:rPr>
          <w:color w:val="000000"/>
          <w:sz w:val="24"/>
          <w:szCs w:val="20"/>
          <w:highlight w:val="none"/>
        </w:rPr>
        <w:t xml:space="preserve">（实质性格式）</w:t>
      </w:r>
      <w:r>
        <w:rPr>
          <w:color w:val="000000"/>
          <w:sz w:val="24"/>
          <w:highlight w:val="none"/>
        </w:rPr>
        <w:t xml:space="preserve">。</w:t>
      </w:r>
      <w:r/>
    </w:p>
    <w:p>
      <w:pPr>
        <w:spacing w:line="360" w:lineRule="auto"/>
        <w:tabs>
          <w:tab w:val="left" w:pos="5580" w:leader="none"/>
        </w:tabs>
        <w:rPr>
          <w:color w:val="000000"/>
          <w:sz w:val="24"/>
          <w:highlight w:val="none"/>
        </w:rPr>
      </w:pPr>
      <w:r>
        <w:rPr>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000000"/>
          <w:sz w:val="24"/>
          <w:highlight w:val="none"/>
        </w:rPr>
      </w:pPr>
      <w:r>
        <w:rPr>
          <w:color w:val="000000"/>
          <w:sz w:val="24"/>
          <w:highlight w:val="none"/>
        </w:rPr>
        <w:t xml:space="preserve">（4）其它</w:t>
      </w:r>
      <w:r/>
    </w:p>
    <w:p>
      <w:pPr>
        <w:spacing w:line="360" w:lineRule="auto"/>
        <w:tabs>
          <w:tab w:val="left" w:pos="5580" w:leader="none"/>
        </w:tabs>
        <w:rPr>
          <w:color w:val="000000"/>
          <w:sz w:val="24"/>
          <w:highlight w:val="none"/>
        </w:rPr>
      </w:pPr>
      <w:r>
        <w:rPr>
          <w:color w:val="000000"/>
          <w:sz w:val="24"/>
          <w:highlight w:val="none"/>
        </w:rPr>
        <w:t xml:space="preserve">1）中小企业参加政府采购活动，应当出具此格式文件。《中小企业声明函》由参加政府采购活动的供应商出具。联合体</w:t>
      </w:r>
      <w:r>
        <w:rPr>
          <w:rFonts w:hint="eastAsia"/>
          <w:color w:val="000000"/>
          <w:sz w:val="24"/>
          <w:highlight w:val="none"/>
        </w:rPr>
        <w:t xml:space="preserve">响应</w:t>
      </w:r>
      <w:r>
        <w:rPr>
          <w:color w:val="000000"/>
          <w:sz w:val="24"/>
          <w:highlight w:val="none"/>
        </w:rPr>
        <w:t xml:space="preserve">的，《中小企业声明函》由牵头人出具。</w:t>
      </w:r>
      <w:r/>
    </w:p>
    <w:p>
      <w:pPr>
        <w:spacing w:line="360" w:lineRule="auto"/>
        <w:tabs>
          <w:tab w:val="left" w:pos="5580" w:leader="none"/>
        </w:tabs>
        <w:rPr>
          <w:color w:val="000000"/>
          <w:sz w:val="24"/>
          <w:highlight w:val="none"/>
        </w:rPr>
      </w:pPr>
      <w:r>
        <w:rPr>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000000"/>
          <w:sz w:val="24"/>
          <w:highlight w:val="none"/>
        </w:rPr>
      </w:pPr>
      <w:r>
        <w:rPr>
          <w:color w:val="000000"/>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000000"/>
          <w:sz w:val="24"/>
          <w:highlight w:val="none"/>
        </w:rPr>
      </w:pPr>
      <w:r>
        <w:rPr>
          <w:color w:val="000000"/>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br w:type="page" w:clear="all"/>
      </w:r>
      <w:r/>
    </w:p>
    <w:p>
      <w:pPr>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w:t>
      </w:r>
      <w:r>
        <w:rPr>
          <w:rFonts w:hint="eastAsia"/>
          <w:b/>
          <w:bCs/>
          <w:color w:val="000000"/>
          <w:sz w:val="36"/>
          <w:szCs w:val="36"/>
          <w:highlight w:val="none"/>
          <w:lang w:eastAsia="zh-CN"/>
        </w:rPr>
        <w:t xml:space="preserve">、</w:t>
      </w:r>
      <w:r>
        <w:rPr>
          <w:rFonts w:hint="eastAsia"/>
          <w:b/>
          <w:bCs/>
          <w:color w:val="000000"/>
          <w:sz w:val="36"/>
          <w:szCs w:val="36"/>
          <w:highlight w:val="none"/>
          <w:lang w:val="en-US" w:eastAsia="zh-CN"/>
        </w:rPr>
        <w:t xml:space="preserve">服务</w:t>
      </w:r>
      <w:r>
        <w:rPr>
          <w:rFonts w:hint="eastAsia"/>
          <w:b/>
          <w:bCs/>
          <w:color w:val="000000"/>
          <w:sz w:val="36"/>
          <w:szCs w:val="36"/>
          <w:highlight w:val="none"/>
        </w:rPr>
        <w:t xml:space="preserve">）格式</w:t>
      </w:r>
      <w:r>
        <w:rPr>
          <w:rFonts w:hint="eastAsia"/>
          <w:b/>
          <w:color w:val="000000"/>
          <w:spacing w:val="6"/>
          <w:sz w:val="24"/>
          <w:highlight w:val="none"/>
        </w:rPr>
        <w:t xml:space="preserve">（实质性格式）</w:t>
      </w:r>
      <w:r/>
    </w:p>
    <w:p>
      <w:pPr>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p>
    <w:p>
      <w:pPr>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p>
    <w:p>
      <w:pPr>
        <w:ind w:firstLine="504"/>
        <w:spacing w:line="360" w:lineRule="auto"/>
        <w:rPr>
          <w:color w:val="000000"/>
          <w:spacing w:val="6"/>
          <w:sz w:val="24"/>
          <w:highlight w:val="none"/>
        </w:rPr>
      </w:pPr>
      <w:r>
        <w:rPr>
          <w:color w:val="000000"/>
          <w:spacing w:val="6"/>
          <w:sz w:val="24"/>
          <w:highlight w:val="none"/>
        </w:rPr>
      </w:r>
      <w:r/>
    </w:p>
    <w:p>
      <w:pPr>
        <w:ind w:firstLine="504"/>
        <w:spacing w:line="360" w:lineRule="auto"/>
        <w:rPr>
          <w:color w:val="000000"/>
          <w:spacing w:val="6"/>
          <w:sz w:val="24"/>
          <w:highlight w:val="none"/>
        </w:rPr>
      </w:pPr>
      <w:r>
        <w:rPr>
          <w:color w:val="000000"/>
          <w:spacing w:val="6"/>
          <w:sz w:val="24"/>
          <w:highlight w:val="none"/>
        </w:rPr>
        <w:t xml:space="preserve">……</w:t>
      </w:r>
      <w:r/>
    </w:p>
    <w:p>
      <w:pPr>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p>
    <w:p>
      <w:pPr>
        <w:ind w:right="360" w:firstLine="480"/>
        <w:jc w:val="right"/>
        <w:spacing w:line="360" w:lineRule="auto"/>
        <w:rPr>
          <w:color w:val="000000"/>
          <w:sz w:val="24"/>
          <w:highlight w:val="none"/>
        </w:rPr>
      </w:pPr>
      <w:r>
        <w:rPr>
          <w:color w:val="000000"/>
          <w:sz w:val="24"/>
          <w:highlight w:val="none"/>
        </w:rPr>
      </w:r>
      <w:r/>
    </w:p>
    <w:p>
      <w:pPr>
        <w:ind w:right="360" w:firstLine="480"/>
        <w:jc w:val="right"/>
        <w:spacing w:line="360" w:lineRule="auto"/>
        <w:rPr>
          <w:color w:val="000000"/>
          <w:sz w:val="24"/>
          <w:highlight w:val="none"/>
        </w:rPr>
      </w:pPr>
      <w:r>
        <w:rPr>
          <w:color w:val="000000"/>
          <w:sz w:val="24"/>
          <w:highlight w:val="none"/>
        </w:rPr>
        <w:t xml:space="preserve">企业名称（加盖公章）：________</w:t>
      </w:r>
      <w:r/>
    </w:p>
    <w:p>
      <w:pPr>
        <w:ind w:right="360" w:firstLine="480"/>
        <w:jc w:val="right"/>
        <w:spacing w:line="360" w:lineRule="auto"/>
        <w:rPr>
          <w:color w:val="000000"/>
          <w:sz w:val="24"/>
          <w:highlight w:val="none"/>
        </w:rPr>
      </w:pPr>
      <w:r>
        <w:rPr>
          <w:color w:val="000000"/>
          <w:sz w:val="24"/>
          <w:highlight w:val="none"/>
        </w:rPr>
        <w:t xml:space="preserve">日 期：________</w:t>
      </w:r>
      <w:r/>
    </w:p>
    <w:p>
      <w:pPr>
        <w:jc w:val="left"/>
        <w:rPr>
          <w:color w:val="000000"/>
          <w:sz w:val="24"/>
          <w:szCs w:val="21"/>
          <w:highlight w:val="none"/>
        </w:rPr>
      </w:pPr>
      <w:r>
        <w:rPr>
          <w:color w:val="000000"/>
          <w:sz w:val="24"/>
          <w:szCs w:val="21"/>
          <w:highlight w:val="none"/>
        </w:rPr>
      </w:r>
      <w:r/>
    </w:p>
    <w:p>
      <w:pPr>
        <w:jc w:val="left"/>
        <w:rPr>
          <w:color w:val="000000"/>
          <w:sz w:val="24"/>
          <w:szCs w:val="21"/>
          <w:highlight w:val="none"/>
        </w:rPr>
      </w:pPr>
      <w:r>
        <w:rPr>
          <w:color w:val="000000"/>
          <w:sz w:val="24"/>
          <w:szCs w:val="21"/>
          <w:highlight w:val="none"/>
        </w:rPr>
      </w:r>
      <w:r/>
    </w:p>
    <w:tbl>
      <w:tblPr>
        <w:tblStyle w:val="781"/>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829"/>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jc w:val="left"/>
        <w:rPr>
          <w:color w:val="000000"/>
          <w:szCs w:val="21"/>
          <w:highlight w:val="none"/>
          <w:vertAlign w:val="superscript"/>
        </w:rPr>
      </w:pPr>
      <w:r>
        <w:rPr>
          <w:color w:val="000000"/>
          <w:szCs w:val="21"/>
          <w:highlight w:val="none"/>
          <w:vertAlign w:val="superscript"/>
        </w:rPr>
      </w:r>
      <w:r/>
    </w:p>
    <w:p>
      <w:pPr>
        <w:ind w:right="360" w:firstLine="480"/>
        <w:jc w:val="right"/>
        <w:spacing w:line="360" w:lineRule="auto"/>
        <w:rPr>
          <w:color w:val="000000"/>
          <w:sz w:val="24"/>
          <w:highlight w:val="none"/>
        </w:rPr>
      </w:pPr>
      <w:r>
        <w:rPr>
          <w:color w:val="000000"/>
          <w:sz w:val="24"/>
          <w:highlight w:val="none"/>
        </w:rPr>
      </w:r>
      <w:r/>
    </w:p>
    <w:p>
      <w:pPr>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jc w:val="both"/>
        <w:spacing w:before="240" w:after="240" w:line="360" w:lineRule="auto"/>
        <w:rPr>
          <w:color w:val="000000"/>
          <w:sz w:val="24"/>
          <w:szCs w:val="20"/>
          <w:highlight w:val="none"/>
        </w:rPr>
      </w:pPr>
      <w:r>
        <w:rPr>
          <w:color w:val="000000"/>
          <w:sz w:val="24"/>
          <w:szCs w:val="20"/>
          <w:highlight w:val="none"/>
        </w:rPr>
      </w:r>
      <w:r/>
    </w:p>
    <w:p>
      <w:pPr>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rPr>
          <w:rFonts w:hint="eastAsia"/>
          <w:b/>
          <w:color w:val="000000"/>
          <w:spacing w:val="6"/>
          <w:sz w:val="24"/>
          <w:highlight w:val="none"/>
        </w:rPr>
        <w:t xml:space="preserve">（实质性格式）</w:t>
      </w:r>
      <w:r>
        <w:rPr>
          <w:color w:val="000000"/>
          <w:spacing w:val="6"/>
          <w:sz w:val="24"/>
          <w:highlight w:val="none"/>
        </w:rPr>
        <w:t xml:space="preserve"> </w:t>
      </w:r>
      <w:r>
        <w:rPr>
          <w:b/>
          <w:color w:val="000000"/>
          <w:sz w:val="36"/>
          <w:szCs w:val="36"/>
          <w:highlight w:val="none"/>
        </w:rPr>
        <w:t xml:space="preserve">   </w:t>
      </w:r>
      <w:r/>
    </w:p>
    <w:p>
      <w:pPr>
        <w:jc w:val="center"/>
        <w:rPr>
          <w:color w:val="000000"/>
          <w:sz w:val="36"/>
          <w:szCs w:val="36"/>
          <w:highlight w:val="none"/>
        </w:rPr>
      </w:pPr>
      <w:r>
        <w:rPr>
          <w:color w:val="000000"/>
          <w:sz w:val="36"/>
          <w:szCs w:val="36"/>
          <w:highlight w:val="none"/>
        </w:rPr>
      </w:r>
      <w:r/>
    </w:p>
    <w:p>
      <w:pPr>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p>
    <w:p>
      <w:pPr>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p>
    <w:p>
      <w:pPr>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p>
    <w:p>
      <w:pPr>
        <w:ind w:firstLine="504"/>
        <w:spacing w:line="588" w:lineRule="exact"/>
        <w:rPr>
          <w:color w:val="000000"/>
          <w:spacing w:val="6"/>
          <w:sz w:val="24"/>
          <w:highlight w:val="none"/>
        </w:rPr>
      </w:pPr>
      <w:r>
        <w:rPr>
          <w:color w:val="000000"/>
          <w:spacing w:val="6"/>
          <w:sz w:val="24"/>
          <w:highlight w:val="none"/>
        </w:rPr>
      </w:r>
      <w:r/>
    </w:p>
    <w:p>
      <w:pPr>
        <w:ind w:firstLine="504"/>
        <w:spacing w:line="588" w:lineRule="exact"/>
        <w:rPr>
          <w:color w:val="000000"/>
          <w:spacing w:val="6"/>
          <w:sz w:val="24"/>
          <w:highlight w:val="none"/>
        </w:rPr>
      </w:pPr>
      <w:r>
        <w:rPr>
          <w:color w:val="000000"/>
          <w:spacing w:val="6"/>
          <w:sz w:val="24"/>
          <w:highlight w:val="none"/>
        </w:rPr>
      </w:r>
      <w:r/>
    </w:p>
    <w:p>
      <w:pPr>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单位名称（盖章）：</w:t>
      </w:r>
      <w:r/>
    </w:p>
    <w:p>
      <w:pPr>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p>
    <w:p>
      <w:pPr>
        <w:jc w:val="left"/>
        <w:widowControl/>
        <w:rPr>
          <w:color w:val="000000"/>
          <w:sz w:val="24"/>
          <w:szCs w:val="20"/>
          <w:highlight w:val="none"/>
        </w:rPr>
      </w:pPr>
      <w:r>
        <w:rPr>
          <w:color w:val="000000"/>
          <w:sz w:val="24"/>
          <w:szCs w:val="20"/>
          <w:highlight w:val="none"/>
        </w:rPr>
      </w:r>
      <w:r/>
    </w:p>
    <w:p>
      <w:pPr>
        <w:spacing w:line="360" w:lineRule="auto"/>
        <w:rPr>
          <w:color w:val="000000"/>
          <w:sz w:val="24"/>
          <w:szCs w:val="20"/>
          <w:highlight w:val="none"/>
        </w:rPr>
        <w:outlineLvl w:val="2"/>
      </w:pPr>
      <w:r>
        <w:rPr>
          <w:b/>
          <w:color w:val="000000"/>
          <w:sz w:val="24"/>
          <w:highlight w:val="none"/>
        </w:rPr>
        <w:br w:type="page" w:clear="all"/>
      </w:r>
      <w:bookmarkStart w:id="672" w:name="_Toc127151557"/>
      <w:r/>
      <w:bookmarkStart w:id="673" w:name="_Ref467988705"/>
      <w:r/>
      <w:bookmarkStart w:id="674" w:name="_Toc305158899"/>
      <w:r/>
      <w:bookmarkStart w:id="675" w:name="_Toc226965747"/>
      <w:r/>
      <w:bookmarkStart w:id="676" w:name="_Toc265228395"/>
      <w:r/>
      <w:bookmarkStart w:id="677" w:name="_Toc195842922"/>
      <w:r/>
      <w:bookmarkStart w:id="678" w:name="_Toc226965830"/>
      <w:r/>
      <w:bookmarkStart w:id="679" w:name="_Toc150774762"/>
      <w:r/>
      <w:bookmarkStart w:id="680" w:name="_Toc305158825"/>
      <w:r/>
      <w:bookmarkStart w:id="681" w:name="_Toc226309801"/>
      <w:r/>
      <w:bookmarkStart w:id="682" w:name="_Toc520356218"/>
      <w:r/>
      <w:bookmarkStart w:id="683" w:name="_Toc226337253"/>
      <w:r/>
      <w:bookmarkStart w:id="684" w:name="_Toc480942350"/>
      <w:r/>
      <w:bookmarkStart w:id="685" w:name="_Toc150480795"/>
      <w:r/>
      <w:bookmarkStart w:id="686" w:name="_Toc264969247"/>
      <w:r/>
      <w:bookmarkStart w:id="687" w:name="_Toc142311059"/>
      <w:r>
        <w:rPr>
          <w:rFonts w:hint="eastAsia"/>
          <w:color w:val="000000"/>
          <w:sz w:val="24"/>
          <w:highlight w:val="none"/>
          <w:lang w:val="en-US" w:eastAsia="zh-CN"/>
        </w:rPr>
        <w:t xml:space="preserve">3</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b/>
          <w:bCs/>
          <w:color w:val="000000"/>
          <w:sz w:val="24"/>
          <w:szCs w:val="20"/>
          <w:highlight w:val="none"/>
        </w:rPr>
        <w:t xml:space="preserve">（实质性格式）</w:t>
      </w:r>
      <w:r/>
    </w:p>
    <w:p>
      <w:pPr>
        <w:spacing w:line="360" w:lineRule="auto"/>
        <w:tabs>
          <w:tab w:val="left" w:pos="5580" w:leader="none"/>
        </w:tabs>
        <w:rPr>
          <w:color w:val="000000"/>
          <w:sz w:val="24"/>
          <w:highlight w:val="none"/>
        </w:rPr>
      </w:pPr>
      <w:r>
        <w:rPr>
          <w:color w:val="000000"/>
          <w:sz w:val="24"/>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响应函</w:t>
      </w:r>
      <w:r/>
    </w:p>
    <w:p>
      <w:pPr>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p>
    <w:p>
      <w:pPr>
        <w:spacing w:line="360" w:lineRule="auto"/>
        <w:tabs>
          <w:tab w:val="left" w:pos="5580" w:leader="none"/>
        </w:tabs>
        <w:rPr>
          <w:color w:val="000000"/>
          <w:sz w:val="24"/>
          <w:szCs w:val="20"/>
          <w:highlight w:val="none"/>
        </w:rPr>
      </w:pPr>
      <w:r>
        <w:rPr>
          <w:color w:val="000000"/>
          <w:sz w:val="24"/>
          <w:szCs w:val="20"/>
          <w:highlight w:val="none"/>
        </w:rPr>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个日历日。</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p>
    <w:p>
      <w:pPr>
        <w:ind w:firstLine="480"/>
        <w:spacing w:line="360" w:lineRule="auto"/>
        <w:rPr>
          <w:color w:val="000000"/>
          <w:sz w:val="24"/>
          <w:highlight w:val="none"/>
        </w:rPr>
      </w:pPr>
      <w:r>
        <w:rPr>
          <w:color w:val="000000"/>
          <w:sz w:val="24"/>
          <w:highlight w:val="none"/>
        </w:rPr>
        <w:t xml:space="preserve">与本响应有关的一切正式往来信函请寄：</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p>
    <w:p>
      <w:pPr>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jc w:val="left"/>
        <w:widowControl/>
        <w:rPr>
          <w:rFonts w:hint="eastAsia"/>
          <w:color w:val="000000"/>
          <w:sz w:val="24"/>
          <w:highlight w:val="none"/>
        </w:rPr>
      </w:pPr>
      <w:r/>
      <w:bookmarkStart w:id="688" w:name="_Hlt520356243"/>
      <w:r/>
      <w:bookmarkEnd w:id="688"/>
      <w:r/>
      <w:bookmarkStart w:id="689" w:name="_Hlt520355938"/>
      <w:r/>
      <w:bookmarkEnd w:id="689"/>
      <w:r>
        <w:rPr>
          <w:color w:val="000000"/>
          <w:sz w:val="24"/>
          <w:highlight w:val="none"/>
        </w:rPr>
        <w:br w:type="page" w:clear="all"/>
      </w:r>
      <w:r/>
    </w:p>
    <w:p>
      <w:pPr>
        <w:jc w:val="left"/>
        <w:widowControl/>
        <w:rPr>
          <w:rFonts w:hint="eastAsia"/>
          <w:color w:val="000000"/>
          <w:sz w:val="24"/>
          <w:highlight w:val="none"/>
        </w:rPr>
      </w:pPr>
      <w:r>
        <w:rPr>
          <w:rFonts w:hint="eastAsia"/>
          <w:color w:val="000000"/>
          <w:sz w:val="24"/>
          <w:highlight w:val="none"/>
          <w:lang w:val="en-US" w:eastAsia="zh-CN"/>
        </w:rPr>
        <w:t xml:space="preserve">4</w:t>
      </w:r>
      <w:r>
        <w:rPr>
          <w:color w:val="000000"/>
          <w:sz w:val="24"/>
          <w:highlight w:val="none"/>
        </w:rPr>
        <w:t xml:space="preserve">  </w:t>
      </w:r>
      <w:r>
        <w:rPr>
          <w:rFonts w:hint="eastAsia"/>
          <w:color w:val="000000"/>
          <w:sz w:val="24"/>
          <w:highlight w:val="none"/>
        </w:rPr>
        <w:t xml:space="preserve">法定代表人资格证明书</w:t>
      </w:r>
      <w:r>
        <w:rPr>
          <w:b/>
          <w:bCs/>
          <w:color w:val="000000"/>
          <w:sz w:val="24"/>
          <w:szCs w:val="20"/>
          <w:highlight w:val="none"/>
        </w:rPr>
        <w:t xml:space="preserve">（实质性格式）</w:t>
      </w:r>
      <w:r/>
    </w:p>
    <w:p>
      <w:p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地址:</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上述项目的响应文件、进行合同磋商、签署合同和处理与之有关的一切事务。</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p>
    <w:p>
      <w:pPr>
        <w:spacing w:line="560" w:lineRule="exact"/>
        <w:rPr>
          <w:rFonts w:ascii="宋体" w:hAnsi="宋体"/>
          <w:color w:val="000000"/>
          <w:sz w:val="24"/>
          <w:highlight w:val="none"/>
        </w:rPr>
      </w:pPr>
      <w:r>
        <w:rPr>
          <w:rFonts w:ascii="宋体" w:hAnsi="宋体"/>
          <w:color w:val="000000"/>
          <w:sz w:val="24"/>
          <w:highlight w:val="none"/>
        </w:rPr>
      </w:r>
      <w:r/>
    </w:p>
    <w:p>
      <w:pPr>
        <w:pStyle w:val="981"/>
        <w:ind w:right="-46"/>
        <w:spacing w:line="583" w:lineRule="auto"/>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p>
    <w:tbl>
      <w:tblPr>
        <w:tblStyle w:val="78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spacing w:line="560" w:lineRule="exact"/>
        <w:rPr>
          <w:rFonts w:ascii="宋体" w:hAnsi="宋体"/>
          <w:color w:val="000000"/>
          <w:sz w:val="24"/>
          <w:highlight w:val="none"/>
        </w:rPr>
      </w:pPr>
      <w:r>
        <w:rPr>
          <w:rFonts w:hint="eastAsia" w:ascii="宋体" w:hAnsi="宋体"/>
          <w:color w:val="000000"/>
          <w:sz w:val="24"/>
          <w:highlight w:val="none"/>
        </w:rPr>
        <w:t xml:space="preserve">                     供应商：（加盖公章）</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p>
    <w:p>
      <w:pPr>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r>
      <w:r/>
    </w:p>
    <w:p>
      <w:pPr>
        <w:jc w:val="left"/>
        <w:widowControl/>
        <w:rPr>
          <w:rFonts w:hint="eastAsia"/>
          <w:color w:val="000000"/>
          <w:sz w:val="24"/>
          <w:highlight w:val="none"/>
        </w:rPr>
      </w:pPr>
      <w:r>
        <w:rPr>
          <w:rFonts w:hint="eastAsia"/>
          <w:color w:val="000000"/>
          <w:sz w:val="24"/>
          <w:highlight w:val="none"/>
        </w:rPr>
        <w:br w:type="page" w:clear="all"/>
      </w:r>
      <w:r/>
    </w:p>
    <w:p>
      <w:pPr>
        <w:jc w:val="left"/>
        <w:widowControl/>
        <w:rPr>
          <w:rFonts w:hint="eastAsia"/>
          <w:b/>
          <w:bCs/>
          <w:color w:val="000000"/>
          <w:sz w:val="24"/>
          <w:highlight w:val="none"/>
        </w:rPr>
      </w:pPr>
      <w:r>
        <w:rPr>
          <w:rFonts w:hint="eastAsia"/>
          <w:color w:val="000000"/>
          <w:sz w:val="24"/>
          <w:highlight w:val="none"/>
          <w:lang w:val="en-US" w:eastAsia="zh-CN"/>
        </w:rPr>
        <w:t xml:space="preserve">5</w:t>
      </w:r>
      <w:r>
        <w:rPr>
          <w:rFonts w:hint="eastAsia"/>
          <w:color w:val="000000"/>
          <w:sz w:val="24"/>
          <w:highlight w:val="none"/>
        </w:rPr>
        <w:t xml:space="preserve">  政府采购供应商信用承诺书</w:t>
      </w:r>
      <w:r>
        <w:rPr>
          <w:b/>
          <w:bCs/>
          <w:color w:val="000000"/>
          <w:sz w:val="24"/>
          <w:szCs w:val="20"/>
          <w:highlight w:val="none"/>
        </w:rPr>
        <w:t xml:space="preserve">（实质性格式）</w:t>
      </w:r>
      <w:r/>
    </w:p>
    <w:p>
      <w:pPr>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p>
    <w:p>
      <w:pPr>
        <w:ind w:firstLine="640"/>
        <w:rPr>
          <w:color w:val="000000"/>
          <w:highlight w:val="none"/>
        </w:rPr>
      </w:pPr>
      <w:r>
        <w:rPr>
          <w:color w:val="000000"/>
          <w:highlight w:val="none"/>
        </w:rPr>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p>
    <w:p>
      <w:pPr>
        <w:pStyle w:val="1199"/>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br w:type="page" w:clear="all"/>
      </w:r>
      <w:r/>
    </w:p>
    <w:p>
      <w:pPr>
        <w:spacing w:line="360" w:lineRule="auto"/>
        <w:rPr>
          <w:color w:val="000000"/>
          <w:sz w:val="24"/>
          <w:szCs w:val="20"/>
          <w:highlight w:val="none"/>
        </w:rPr>
        <w:outlineLvl w:val="2"/>
      </w:pPr>
      <w:r>
        <w:rPr>
          <w:rFonts w:hint="eastAsia"/>
          <w:color w:val="000000"/>
          <w:sz w:val="24"/>
          <w:szCs w:val="20"/>
          <w:highlight w:val="none"/>
          <w:lang w:val="en-US" w:eastAsia="zh-CN"/>
        </w:rPr>
        <w:t xml:space="preserve">6</w:t>
      </w:r>
      <w:r>
        <w:rPr>
          <w:color w:val="000000"/>
          <w:sz w:val="24"/>
          <w:szCs w:val="20"/>
          <w:highlight w:val="none"/>
        </w:rPr>
        <w:t xml:space="preserve">  报价一览表</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Pr>
          <w:b/>
          <w:color w:val="000000"/>
          <w:sz w:val="24"/>
          <w:szCs w:val="20"/>
          <w:highlight w:val="none"/>
        </w:rPr>
        <w:t xml:space="preserve">（实质性格式）</w:t>
      </w:r>
      <w:r/>
    </w:p>
    <w:p>
      <w:pPr>
        <w:jc w:val="center"/>
        <w:rPr>
          <w:b/>
          <w:color w:val="000000"/>
          <w:sz w:val="36"/>
          <w:szCs w:val="36"/>
          <w:highlight w:val="none"/>
        </w:rPr>
      </w:pPr>
      <w:r/>
      <w:bookmarkStart w:id="690" w:name="_Toc305158900"/>
      <w:r/>
      <w:bookmarkStart w:id="691" w:name="_Toc226337254"/>
      <w:r/>
      <w:bookmarkStart w:id="692" w:name="_Toc305158826"/>
      <w:r/>
      <w:bookmarkStart w:id="693" w:name="_Toc264969248"/>
      <w:r/>
      <w:bookmarkStart w:id="694" w:name="_Toc265228396"/>
      <w:r/>
      <w:bookmarkStart w:id="695" w:name="_Toc164608827"/>
      <w:r/>
      <w:bookmarkStart w:id="696" w:name="_Toc195842923"/>
      <w:r/>
      <w:bookmarkStart w:id="697" w:name="_Toc164608672"/>
      <w:r/>
      <w:bookmarkStart w:id="698" w:name="_Toc226309802"/>
      <w:r/>
      <w:bookmarkStart w:id="699" w:name="_Toc226965831"/>
      <w:r/>
      <w:bookmarkStart w:id="700" w:name="_Toc226965748"/>
      <w:r>
        <w:rPr>
          <w:rFonts w:hint="eastAsia"/>
          <w:b/>
          <w:color w:val="000000"/>
          <w:sz w:val="36"/>
          <w:szCs w:val="36"/>
          <w:highlight w:val="none"/>
        </w:rPr>
        <w:t xml:space="preserve">报价一览表</w:t>
      </w:r>
      <w:bookmarkEnd w:id="690"/>
      <w:r/>
      <w:bookmarkEnd w:id="691"/>
      <w:r/>
      <w:bookmarkEnd w:id="692"/>
      <w:r/>
      <w:bookmarkEnd w:id="693"/>
      <w:r/>
      <w:bookmarkEnd w:id="694"/>
      <w:r/>
      <w:bookmarkEnd w:id="695"/>
      <w:r/>
      <w:bookmarkEnd w:id="696"/>
      <w:r/>
      <w:bookmarkEnd w:id="697"/>
      <w:r/>
      <w:bookmarkEnd w:id="698"/>
      <w:r/>
      <w:bookmarkEnd w:id="699"/>
      <w:r/>
      <w:bookmarkEnd w:id="700"/>
      <w:r/>
      <w:r/>
    </w:p>
    <w:p>
      <w:pPr>
        <w:jc w:val="left"/>
        <w:spacing w:line="360" w:lineRule="auto"/>
        <w:tabs>
          <w:tab w:val="left" w:pos="1800" w:leader="none"/>
          <w:tab w:val="left" w:pos="5580" w:leader="none"/>
        </w:tabs>
        <w:rPr>
          <w:color w:val="000000"/>
          <w:sz w:val="24"/>
          <w:highlight w:val="none"/>
        </w:rPr>
      </w:pPr>
      <w:r>
        <w:rPr>
          <w:color w:val="000000"/>
          <w:sz w:val="24"/>
          <w:highlight w:val="none"/>
        </w:rPr>
      </w:r>
      <w:r/>
    </w:p>
    <w:p>
      <w:pPr>
        <w:jc w:val="left"/>
        <w:spacing w:line="360" w:lineRule="auto"/>
        <w:tabs>
          <w:tab w:val="left" w:pos="1800" w:leader="none"/>
          <w:tab w:val="left" w:pos="5580" w:leader="none"/>
        </w:tabs>
        <w:rPr>
          <w:i/>
          <w:color w:val="000000"/>
          <w:sz w:val="24"/>
          <w:highlight w:val="none"/>
        </w:rPr>
      </w:pPr>
      <w:r>
        <w:rPr>
          <w:i/>
          <w:color w:val="000000"/>
          <w:sz w:val="24"/>
          <w:highlight w:val="none"/>
        </w:rPr>
      </w:r>
      <w:r/>
    </w:p>
    <w:p>
      <w:pPr>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项目名称：_______________________</w:t>
      </w:r>
      <w:r/>
    </w:p>
    <w:tbl>
      <w:tblPr>
        <w:tblStyle w:val="781"/>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8"/>
        <w:gridCol w:w="2363"/>
        <w:gridCol w:w="1494"/>
        <w:gridCol w:w="3207"/>
      </w:tblGrid>
      <w:tr>
        <w:trPr>
          <w:jc w:val="center"/>
          <w:trHeight w:val="531"/>
        </w:trPr>
        <w:tc>
          <w:tcPr>
            <w:tcW w:w="496" w:type="dxa"/>
            <w:vAlign w:val="center"/>
            <w:vMerge w:val="restart"/>
            <w:textDirection w:val="lrTb"/>
            <w:noWrap w:val="false"/>
          </w:tcPr>
          <w:p>
            <w:pPr>
              <w:jc w:val="center"/>
              <w:tabs>
                <w:tab w:val="left" w:pos="5580" w:leader="none"/>
              </w:tabs>
              <w:rPr>
                <w:b/>
                <w:color w:val="000000"/>
                <w:sz w:val="24"/>
                <w:highlight w:val="none"/>
              </w:rPr>
            </w:pPr>
            <w:r>
              <w:rPr>
                <w:rFonts w:hint="eastAsia"/>
                <w:b/>
                <w:color w:val="000000"/>
                <w:sz w:val="24"/>
                <w:highlight w:val="none"/>
              </w:rPr>
              <w:t xml:space="preserve">序号</w:t>
            </w:r>
            <w:r/>
          </w:p>
        </w:tc>
        <w:tc>
          <w:tcPr>
            <w:tcW w:w="1960" w:type="dxa"/>
            <w:vAlign w:val="center"/>
            <w:vMerge w:val="restart"/>
            <w:textDirection w:val="lrTb"/>
            <w:noWrap w:val="false"/>
          </w:tcPr>
          <w:p>
            <w:pPr>
              <w:jc w:val="center"/>
              <w:tabs>
                <w:tab w:val="left" w:pos="5580" w:leader="none"/>
              </w:tabs>
              <w:rPr>
                <w:b/>
                <w:color w:val="000000"/>
                <w:sz w:val="24"/>
                <w:highlight w:val="none"/>
              </w:rPr>
            </w:pPr>
            <w:r>
              <w:rPr>
                <w:rFonts w:hint="eastAsia"/>
                <w:b/>
                <w:color w:val="000000"/>
                <w:sz w:val="24"/>
                <w:highlight w:val="none"/>
              </w:rPr>
              <w:t xml:space="preserve">供应商名称</w:t>
            </w:r>
            <w:r/>
          </w:p>
        </w:tc>
        <w:tc>
          <w:tcPr>
            <w:gridSpan w:val="2"/>
            <w:tcW w:w="3898" w:type="dxa"/>
            <w:vAlign w:val="center"/>
            <w:textDirection w:val="lrTb"/>
            <w:noWrap w:val="false"/>
          </w:tcPr>
          <w:p>
            <w:pPr>
              <w:jc w:val="center"/>
              <w:tabs>
                <w:tab w:val="left" w:pos="5580" w:leader="none"/>
              </w:tabs>
              <w:rPr>
                <w:b/>
                <w:color w:val="000000"/>
                <w:sz w:val="24"/>
                <w:highlight w:val="none"/>
              </w:rPr>
            </w:pPr>
            <w:r>
              <w:rPr>
                <w:rFonts w:hint="eastAsia"/>
                <w:b/>
                <w:color w:val="000000"/>
                <w:sz w:val="24"/>
                <w:highlight w:val="none"/>
              </w:rPr>
              <w:t xml:space="preserve">报价</w:t>
            </w:r>
            <w:r/>
          </w:p>
        </w:tc>
      </w:tr>
      <w:tr>
        <w:trPr>
          <w:jc w:val="center"/>
          <w:trHeight w:val="674"/>
        </w:trPr>
        <w:tc>
          <w:tcPr>
            <w:tcW w:w="760" w:type="dxa"/>
            <w:vAlign w:val="center"/>
            <w:vMerge w:val="continue"/>
            <w:textDirection w:val="lrTb"/>
            <w:noWrap w:val="false"/>
          </w:tcPr>
          <w:p>
            <w:pPr>
              <w:jc w:val="left"/>
              <w:widowControl/>
              <w:rPr>
                <w:b/>
                <w:color w:val="000000"/>
                <w:sz w:val="24"/>
                <w:highlight w:val="none"/>
              </w:rPr>
            </w:pPr>
            <w:r>
              <w:rPr>
                <w:b/>
                <w:color w:val="000000"/>
                <w:sz w:val="24"/>
                <w:highlight w:val="none"/>
              </w:rPr>
            </w:r>
            <w:r/>
          </w:p>
        </w:tc>
        <w:tc>
          <w:tcPr>
            <w:tcW w:w="3004" w:type="dxa"/>
            <w:vAlign w:val="center"/>
            <w:vMerge w:val="continue"/>
            <w:textDirection w:val="lrTb"/>
            <w:noWrap w:val="false"/>
          </w:tcPr>
          <w:p>
            <w:pPr>
              <w:jc w:val="left"/>
              <w:widowControl/>
              <w:rPr>
                <w:b/>
                <w:color w:val="000000"/>
                <w:sz w:val="24"/>
                <w:highlight w:val="none"/>
              </w:rPr>
            </w:pPr>
            <w:r>
              <w:rPr>
                <w:b/>
                <w:color w:val="000000"/>
                <w:sz w:val="24"/>
                <w:highlight w:val="none"/>
              </w:rPr>
            </w:r>
            <w:r/>
          </w:p>
        </w:tc>
        <w:tc>
          <w:tcPr>
            <w:tcW w:w="1239" w:type="dxa"/>
            <w:vAlign w:val="center"/>
            <w:textDirection w:val="lrTb"/>
            <w:noWrap w:val="false"/>
          </w:tcPr>
          <w:p>
            <w:pPr>
              <w:jc w:val="center"/>
              <w:tabs>
                <w:tab w:val="left" w:pos="5580" w:leader="none"/>
              </w:tabs>
              <w:rPr>
                <w:b/>
                <w:color w:val="000000"/>
                <w:sz w:val="24"/>
                <w:highlight w:val="none"/>
              </w:rPr>
            </w:pPr>
            <w:r>
              <w:rPr>
                <w:rFonts w:hint="eastAsia"/>
                <w:b/>
                <w:color w:val="000000"/>
                <w:sz w:val="24"/>
                <w:highlight w:val="none"/>
              </w:rPr>
              <w:t xml:space="preserve">大写</w:t>
            </w:r>
            <w:r/>
          </w:p>
        </w:tc>
        <w:tc>
          <w:tcPr>
            <w:tcW w:w="1304" w:type="dxa"/>
            <w:vAlign w:val="center"/>
            <w:textDirection w:val="lrTb"/>
            <w:noWrap w:val="false"/>
          </w:tcPr>
          <w:p>
            <w:pPr>
              <w:jc w:val="center"/>
              <w:tabs>
                <w:tab w:val="left" w:pos="5580" w:leader="none"/>
              </w:tabs>
              <w:rPr>
                <w:b/>
                <w:color w:val="000000"/>
                <w:sz w:val="24"/>
                <w:highlight w:val="none"/>
              </w:rPr>
            </w:pPr>
            <w:r>
              <w:rPr>
                <w:rFonts w:hint="eastAsia"/>
                <w:b/>
                <w:color w:val="000000"/>
                <w:sz w:val="24"/>
                <w:highlight w:val="none"/>
              </w:rPr>
              <w:t xml:space="preserve">小写</w:t>
            </w:r>
            <w:r/>
          </w:p>
        </w:tc>
      </w:tr>
      <w:tr>
        <w:trPr>
          <w:jc w:val="center"/>
          <w:trHeight w:val="976"/>
        </w:trPr>
        <w:tc>
          <w:tcPr>
            <w:tcW w:w="496"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c>
          <w:tcPr>
            <w:tcW w:w="1960"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c>
          <w:tcPr>
            <w:tcW w:w="1239"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c>
          <w:tcPr>
            <w:tcW w:w="1304" w:type="dxa"/>
            <w:vAlign w:val="center"/>
            <w:textDirection w:val="lrTb"/>
            <w:noWrap w:val="false"/>
          </w:tcPr>
          <w:p>
            <w:pPr>
              <w:jc w:val="center"/>
              <w:tabs>
                <w:tab w:val="left" w:pos="5580" w:leader="none"/>
              </w:tabs>
              <w:rPr>
                <w:color w:val="000000"/>
                <w:sz w:val="24"/>
                <w:highlight w:val="none"/>
              </w:rPr>
            </w:pPr>
            <w:r>
              <w:rPr>
                <w:color w:val="000000"/>
                <w:sz w:val="24"/>
                <w:highlight w:val="none"/>
              </w:rPr>
            </w:r>
            <w:r/>
          </w:p>
        </w:tc>
      </w:tr>
    </w:tbl>
    <w:p>
      <w:pPr>
        <w:jc w:val="left"/>
        <w:rPr>
          <w:color w:val="000000"/>
          <w:sz w:val="24"/>
          <w:highlight w:val="none"/>
        </w:rPr>
      </w:pPr>
      <w:r>
        <w:rPr>
          <w:color w:val="000000"/>
          <w:sz w:val="24"/>
          <w:highlight w:val="none"/>
        </w:rPr>
      </w:r>
      <w:r/>
    </w:p>
    <w:p>
      <w:pPr>
        <w:jc w:val="left"/>
        <w:rPr>
          <w:color w:val="000000"/>
          <w:sz w:val="24"/>
          <w:szCs w:val="20"/>
          <w:highlight w:val="none"/>
        </w:rPr>
      </w:pPr>
      <w:r>
        <w:rPr>
          <w:color w:val="000000"/>
          <w:sz w:val="24"/>
          <w:highlight w:val="none"/>
        </w:rPr>
        <w:t xml:space="preserve">注：1</w:t>
      </w:r>
      <w:r>
        <w:rPr>
          <w:color w:val="000000"/>
          <w:sz w:val="24"/>
          <w:szCs w:val="20"/>
          <w:highlight w:val="none"/>
        </w:rPr>
        <w:t xml:space="preserve">.此表中，每包的报价应和《分项报价表》中的总价相一致。</w:t>
      </w:r>
      <w:r/>
    </w:p>
    <w:p>
      <w:pPr>
        <w:ind w:firstLine="480"/>
        <w:tabs>
          <w:tab w:val="left" w:pos="5580" w:leader="none"/>
        </w:tabs>
        <w:rPr>
          <w:color w:val="000000"/>
          <w:sz w:val="24"/>
          <w:szCs w:val="20"/>
          <w:highlight w:val="none"/>
        </w:rPr>
      </w:pPr>
      <w:r>
        <w:rPr>
          <w:color w:val="000000"/>
          <w:sz w:val="24"/>
          <w:szCs w:val="20"/>
          <w:highlight w:val="none"/>
        </w:rPr>
        <w:t xml:space="preserve">2.本表必须按包分别填写。</w:t>
      </w:r>
      <w:r/>
    </w:p>
    <w:p>
      <w:pPr>
        <w:spacing w:before="25" w:after="25" w:line="360" w:lineRule="auto"/>
        <w:rPr>
          <w:color w:val="000000"/>
          <w:sz w:val="24"/>
          <w:highlight w:val="none"/>
          <w:lang w:val="zh-CN"/>
        </w:rPr>
      </w:pPr>
      <w:r>
        <w:rPr>
          <w:color w:val="000000"/>
          <w:sz w:val="24"/>
          <w:highlight w:val="none"/>
          <w:lang w:val="zh-CN"/>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jc w:val="left"/>
        <w:widowControl/>
        <w:rPr>
          <w:color w:val="000000"/>
          <w:sz w:val="24"/>
          <w:szCs w:val="20"/>
          <w:highlight w:val="none"/>
        </w:rPr>
      </w:pPr>
      <w:r/>
      <w:bookmarkStart w:id="701" w:name="_Toc150774763"/>
      <w:r/>
      <w:bookmarkStart w:id="702" w:name="_Toc226965832"/>
      <w:r/>
      <w:bookmarkStart w:id="703" w:name="_Toc264969249"/>
      <w:r/>
      <w:bookmarkStart w:id="704" w:name="_Toc226965749"/>
      <w:r/>
      <w:bookmarkStart w:id="705" w:name="_Toc265228397"/>
      <w:r/>
      <w:bookmarkStart w:id="706" w:name="_Toc305158901"/>
      <w:r/>
      <w:bookmarkStart w:id="707" w:name="_Toc226337255"/>
      <w:r/>
      <w:bookmarkStart w:id="708" w:name="_Toc226309803"/>
      <w:r/>
      <w:bookmarkStart w:id="709" w:name="_Toc150480796"/>
      <w:r/>
      <w:bookmarkStart w:id="710" w:name="_Toc142311060"/>
      <w:r/>
      <w:bookmarkStart w:id="711" w:name="_Toc127151558"/>
      <w:r/>
      <w:bookmarkStart w:id="712" w:name="_Toc305158827"/>
      <w:r/>
      <w:bookmarkStart w:id="713" w:name="_Toc195842924"/>
      <w:r>
        <w:rPr>
          <w:color w:val="000000"/>
          <w:sz w:val="24"/>
          <w:szCs w:val="20"/>
          <w:highlight w:val="none"/>
        </w:rPr>
        <w:br w:type="page" w:clear="all"/>
      </w:r>
      <w:r/>
    </w:p>
    <w:p>
      <w:pPr>
        <w:spacing w:line="360" w:lineRule="auto"/>
        <w:rPr>
          <w:color w:val="000000"/>
          <w:sz w:val="24"/>
          <w:szCs w:val="20"/>
          <w:highlight w:val="none"/>
        </w:rPr>
        <w:outlineLvl w:val="2"/>
      </w:pPr>
      <w:r>
        <w:rPr>
          <w:rFonts w:hint="eastAsia"/>
          <w:color w:val="000000"/>
          <w:sz w:val="24"/>
          <w:szCs w:val="20"/>
          <w:highlight w:val="none"/>
          <w:lang w:val="en-US" w:eastAsia="zh-CN"/>
        </w:rPr>
        <w:t xml:space="preserve">7</w:t>
      </w:r>
      <w:r>
        <w:rPr>
          <w:color w:val="000000"/>
          <w:sz w:val="24"/>
          <w:szCs w:val="20"/>
          <w:highlight w:val="none"/>
        </w:rPr>
        <w:t xml:space="preserve"> </w:t>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color w:val="000000"/>
          <w:sz w:val="24"/>
          <w:szCs w:val="20"/>
          <w:highlight w:val="none"/>
        </w:rPr>
        <w:t xml:space="preserve">分项报价表</w:t>
      </w:r>
      <w:r/>
    </w:p>
    <w:p>
      <w:pPr>
        <w:jc w:val="center"/>
        <w:spacing w:line="360" w:lineRule="exact"/>
        <w:rPr>
          <w:color w:val="000000"/>
          <w:sz w:val="36"/>
          <w:szCs w:val="36"/>
          <w:highlight w:val="none"/>
        </w:rPr>
      </w:pPr>
      <w:r>
        <w:rPr>
          <w:color w:val="000000"/>
          <w:sz w:val="36"/>
          <w:szCs w:val="36"/>
          <w:highlight w:val="none"/>
        </w:rPr>
      </w:r>
      <w:r/>
    </w:p>
    <w:p>
      <w:pPr>
        <w:spacing w:line="360" w:lineRule="auto"/>
        <w:rPr>
          <w:rFonts w:hint="eastAsia"/>
          <w:color w:val="000000"/>
          <w:sz w:val="24"/>
          <w:szCs w:val="20"/>
          <w:highlight w:val="none"/>
          <w:lang w:val="en-US" w:eastAsia="zh-CN"/>
        </w:rPr>
        <w:outlineLvl w:val="2"/>
      </w:pPr>
      <w:r/>
      <w:bookmarkStart w:id="714" w:name="_Toc195842927"/>
      <w:r/>
      <w:bookmarkStart w:id="715" w:name="_Toc226337258"/>
      <w:r/>
      <w:bookmarkStart w:id="716" w:name="_Toc226965752"/>
      <w:r/>
      <w:bookmarkStart w:id="717" w:name="_Toc150480798"/>
      <w:r/>
      <w:bookmarkStart w:id="718" w:name="_Toc305158830"/>
      <w:r/>
      <w:bookmarkStart w:id="719" w:name="_Toc127151562"/>
      <w:r/>
      <w:bookmarkStart w:id="720" w:name="_Toc226309806"/>
      <w:r/>
      <w:bookmarkStart w:id="721" w:name="_Toc142311062"/>
      <w:r/>
      <w:bookmarkStart w:id="722" w:name="_Toc226965835"/>
      <w:r/>
      <w:bookmarkStart w:id="723" w:name="_Toc265228400"/>
      <w:r/>
      <w:bookmarkStart w:id="724" w:name="_Toc264969252"/>
      <w:r/>
      <w:bookmarkStart w:id="725" w:name="_Toc305158904"/>
      <w:r/>
      <w:bookmarkStart w:id="726" w:name="_Toc150774765"/>
      <w:r/>
      <w:bookmarkStart w:id="727" w:name="_Toc264969251"/>
      <w:r/>
      <w:bookmarkStart w:id="728" w:name="_Toc142311061"/>
      <w:r/>
      <w:bookmarkStart w:id="729" w:name="_Toc195842926"/>
      <w:r/>
      <w:bookmarkStart w:id="730" w:name="_Toc127151561"/>
      <w:r/>
      <w:bookmarkStart w:id="731" w:name="_Toc265228399"/>
      <w:r/>
      <w:bookmarkStart w:id="732" w:name="_Toc150774764"/>
      <w:r/>
      <w:bookmarkStart w:id="733" w:name="_Toc226337257"/>
      <w:r/>
      <w:bookmarkStart w:id="734" w:name="_Toc226965834"/>
      <w:r/>
      <w:bookmarkStart w:id="735" w:name="_Toc226965751"/>
      <w:r/>
      <w:bookmarkStart w:id="736" w:name="_Toc226309805"/>
      <w:r/>
      <w:bookmarkStart w:id="737" w:name="_Toc305158903"/>
      <w:r/>
      <w:bookmarkStart w:id="738" w:name="_Toc150480797"/>
      <w:r/>
      <w:bookmarkStart w:id="739" w:name="_Toc305158829"/>
      <w:r/>
      <w:r/>
    </w:p>
    <w:p>
      <w:pPr>
        <w:jc w:val="center"/>
        <w:spacing w:line="360" w:lineRule="auto"/>
        <w:rPr>
          <w:rFonts w:hint="eastAsia"/>
          <w:b/>
          <w:bCs/>
          <w:color w:val="000000"/>
          <w:sz w:val="36"/>
          <w:szCs w:val="36"/>
          <w:highlight w:val="none"/>
          <w:lang w:val="en-US" w:eastAsia="zh-CN"/>
        </w:rPr>
        <w:outlineLvl w:val="2"/>
      </w:pPr>
      <w:r>
        <w:rPr>
          <w:rFonts w:hint="eastAsia"/>
          <w:b/>
          <w:bCs/>
          <w:color w:val="000000"/>
          <w:sz w:val="36"/>
          <w:szCs w:val="36"/>
          <w:highlight w:val="none"/>
          <w:lang w:val="en-US" w:eastAsia="zh-CN"/>
        </w:rPr>
        <w:t xml:space="preserve">分项报价表</w:t>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项目编号/包号：___________ 项目名称：__________报价单位：人民币元</w:t>
      </w:r>
      <w:r/>
    </w:p>
    <w:tbl>
      <w:tblPr>
        <w:tblStyle w:val="781"/>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W w:w="669" w:type="dxa"/>
            <w:vAlign w:val="center"/>
            <w:vMerge w:val="restart"/>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序号</w:t>
            </w:r>
            <w:r/>
          </w:p>
        </w:tc>
        <w:tc>
          <w:tcPr>
            <w:tcW w:w="1423" w:type="dxa"/>
            <w:vAlign w:val="center"/>
            <w:vMerge w:val="restart"/>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分项名称</w:t>
            </w:r>
            <w:r/>
          </w:p>
        </w:tc>
        <w:tc>
          <w:tcPr>
            <w:tcW w:w="2533" w:type="dxa"/>
            <w:vAlign w:val="center"/>
            <w:vMerge w:val="restart"/>
            <w:textDirection w:val="lrTb"/>
            <w:noWrap w:val="false"/>
          </w:tcPr>
          <w:p>
            <w:pPr>
              <w:ind w:firstLine="720"/>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服务内容</w:t>
            </w:r>
            <w:r/>
          </w:p>
        </w:tc>
        <w:tc>
          <w:tcPr>
            <w:tcW w:w="1042" w:type="dxa"/>
            <w:vAlign w:val="center"/>
            <w:vMerge w:val="restart"/>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数量</w:t>
            </w:r>
            <w:r/>
          </w:p>
        </w:tc>
        <w:tc>
          <w:tcPr>
            <w:tcW w:w="992" w:type="dxa"/>
            <w:vAlign w:val="center"/>
            <w:vMerge w:val="restart"/>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单位</w:t>
            </w:r>
            <w:r/>
          </w:p>
        </w:tc>
        <w:tc>
          <w:tcPr>
            <w:gridSpan w:val="2"/>
            <w:tcW w:w="1991"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响应价格</w:t>
            </w:r>
            <w:r/>
          </w:p>
        </w:tc>
      </w:tr>
      <w:tr>
        <w:trPr>
          <w:cantSplit/>
          <w:jc w:val="center"/>
          <w:trHeight w:val="285"/>
        </w:trPr>
        <w:tc>
          <w:tcPr>
            <w:tcW w:w="669" w:type="dxa"/>
            <w:vAlign w:val="center"/>
            <w:vMerge w:val="continue"/>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423" w:type="dxa"/>
            <w:vAlign w:val="center"/>
            <w:vMerge w:val="continue"/>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2533" w:type="dxa"/>
            <w:vAlign w:val="center"/>
            <w:vMerge w:val="continue"/>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42" w:type="dxa"/>
            <w:vAlign w:val="center"/>
            <w:vMerge w:val="continue"/>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92" w:type="dxa"/>
            <w:vAlign w:val="center"/>
            <w:vMerge w:val="continue"/>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1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单价</w:t>
            </w:r>
            <w:r/>
          </w:p>
        </w:tc>
        <w:tc>
          <w:tcPr>
            <w:tcW w:w="107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合价</w:t>
            </w:r>
            <w:r/>
          </w:p>
        </w:tc>
      </w:tr>
      <w:tr>
        <w:trPr>
          <w:jc w:val="center"/>
          <w:trHeight w:val="480"/>
        </w:trPr>
        <w:tc>
          <w:tcPr>
            <w:tcW w:w="66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1</w:t>
            </w:r>
            <w:r/>
          </w:p>
        </w:tc>
        <w:tc>
          <w:tcPr>
            <w:tcW w:w="1423"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2533"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4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9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1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7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r>
      <w:tr>
        <w:trPr>
          <w:jc w:val="center"/>
          <w:trHeight w:val="480"/>
        </w:trPr>
        <w:tc>
          <w:tcPr>
            <w:tcW w:w="66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2</w:t>
            </w:r>
            <w:r/>
          </w:p>
        </w:tc>
        <w:tc>
          <w:tcPr>
            <w:tcW w:w="1423"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2533"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4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9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1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7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r>
      <w:tr>
        <w:trPr>
          <w:jc w:val="center"/>
          <w:trHeight w:val="480"/>
        </w:trPr>
        <w:tc>
          <w:tcPr>
            <w:tcW w:w="66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3</w:t>
            </w:r>
            <w:r/>
          </w:p>
        </w:tc>
        <w:tc>
          <w:tcPr>
            <w:tcW w:w="1423"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2533"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4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9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1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7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r>
      <w:tr>
        <w:trPr>
          <w:jc w:val="center"/>
          <w:trHeight w:val="480"/>
        </w:trPr>
        <w:tc>
          <w:tcPr>
            <w:tcW w:w="66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4</w:t>
            </w:r>
            <w:r/>
          </w:p>
        </w:tc>
        <w:tc>
          <w:tcPr>
            <w:tcW w:w="1423"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2533"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4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9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1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7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r>
      <w:tr>
        <w:trPr>
          <w:jc w:val="center"/>
          <w:trHeight w:val="480"/>
        </w:trPr>
        <w:tc>
          <w:tcPr>
            <w:tcW w:w="66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5</w:t>
            </w:r>
            <w:r/>
          </w:p>
        </w:tc>
        <w:tc>
          <w:tcPr>
            <w:tcW w:w="1423"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2533"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4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9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1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7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r>
      <w:tr>
        <w:trPr>
          <w:jc w:val="center"/>
          <w:trHeight w:val="480"/>
        </w:trPr>
        <w:tc>
          <w:tcPr>
            <w:tcW w:w="66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w:t>
            </w:r>
            <w:r/>
          </w:p>
        </w:tc>
        <w:tc>
          <w:tcPr>
            <w:tcW w:w="1423"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2533"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4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9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919"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c>
          <w:tcPr>
            <w:tcW w:w="1072"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r>
      <w:tr>
        <w:trPr>
          <w:jc w:val="center"/>
          <w:trHeight w:val="480"/>
        </w:trPr>
        <w:tc>
          <w:tcPr>
            <w:gridSpan w:val="3"/>
            <w:tcW w:w="4625" w:type="dxa"/>
            <w:vAlign w:val="center"/>
            <w:textDirection w:val="lrTb"/>
            <w:noWrap w:val="false"/>
          </w:tcPr>
          <w:p>
            <w:pPr>
              <w:ind w:firstLine="1920"/>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总价</w:t>
            </w:r>
            <w:r/>
          </w:p>
        </w:tc>
        <w:tc>
          <w:tcPr>
            <w:gridSpan w:val="4"/>
            <w:tcW w:w="4025" w:type="dxa"/>
            <w:vAlign w:val="center"/>
            <w:textDirection w:val="lrTb"/>
            <w:noWrap w:val="false"/>
          </w:tcPr>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tc>
      </w:tr>
    </w:tbl>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注：1.本表应按包分别填写。</w:t>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2.如果不提供分项报价将视为没有实质性响应磋商文件</w:t>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3.本表行数可以按照项目分项情况增加。</w:t>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4.上述各项的服务内容如表格中填写不下的，可以逐项另页描述。</w:t>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                  </w:t>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供应商名称（加盖公章）：____________</w:t>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日期：_____年______月______日   </w:t>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color w:val="000000"/>
          <w:sz w:val="24"/>
          <w:szCs w:val="20"/>
          <w:highlight w:val="none"/>
        </w:rPr>
        <w:outlineLvl w:val="2"/>
      </w:pPr>
      <w:r>
        <w:rPr>
          <w:rFonts w:hint="eastAsia"/>
          <w:color w:val="000000"/>
          <w:sz w:val="24"/>
          <w:szCs w:val="20"/>
          <w:highlight w:val="none"/>
          <w:lang w:val="en-US" w:eastAsia="zh-CN"/>
        </w:rPr>
        <w:t xml:space="preserve">8 </w:t>
      </w:r>
      <w:r>
        <w:rPr>
          <w:color w:val="000000"/>
          <w:sz w:val="24"/>
          <w:szCs w:val="20"/>
          <w:highlight w:val="none"/>
        </w:rPr>
        <w:t xml:space="preserve"> 合同条款偏离表</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
    </w:p>
    <w:p>
      <w:pPr>
        <w:spacing w:line="360" w:lineRule="auto"/>
        <w:rPr>
          <w:color w:val="000000"/>
          <w:sz w:val="24"/>
          <w:szCs w:val="20"/>
          <w:highlight w:val="none"/>
        </w:rPr>
      </w:pPr>
      <w:r>
        <w:rPr>
          <w:color w:val="000000"/>
          <w:sz w:val="24"/>
          <w:szCs w:val="20"/>
          <w:highlight w:val="none"/>
        </w:rPr>
      </w:r>
      <w:r/>
    </w:p>
    <w:p>
      <w:pPr>
        <w:jc w:val="center"/>
        <w:rPr>
          <w:b/>
          <w:color w:val="000000"/>
          <w:sz w:val="36"/>
          <w:szCs w:val="36"/>
          <w:highlight w:val="none"/>
        </w:rPr>
      </w:pPr>
      <w:r>
        <w:rPr>
          <w:rFonts w:hint="eastAsia"/>
          <w:b/>
          <w:color w:val="000000"/>
          <w:sz w:val="36"/>
          <w:szCs w:val="36"/>
          <w:highlight w:val="none"/>
        </w:rPr>
        <w:t xml:space="preserve">合同条款偏离表</w:t>
      </w:r>
      <w:r/>
    </w:p>
    <w:p>
      <w:pPr>
        <w:jc w:val="center"/>
        <w:rPr>
          <w:color w:val="000000"/>
          <w:sz w:val="36"/>
          <w:szCs w:val="36"/>
          <w:highlight w:val="none"/>
        </w:rPr>
      </w:pPr>
      <w:r>
        <w:rPr>
          <w:color w:val="000000"/>
          <w:sz w:val="36"/>
          <w:szCs w:val="36"/>
          <w:highlight w:val="none"/>
        </w:rPr>
      </w:r>
      <w:r/>
    </w:p>
    <w:p>
      <w:pPr>
        <w:spacing w:line="360" w:lineRule="auto"/>
        <w:rPr>
          <w:color w:val="000000"/>
          <w:sz w:val="24"/>
          <w:szCs w:val="20"/>
          <w:highlight w:val="none"/>
        </w:rPr>
      </w:pPr>
      <w:r>
        <w:rPr>
          <w:color w:val="000000"/>
          <w:sz w:val="24"/>
          <w:szCs w:val="20"/>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235"/>
        <w:gridCol w:w="1838"/>
        <w:gridCol w:w="1838"/>
        <w:gridCol w:w="2266"/>
        <w:gridCol w:w="752"/>
      </w:tblGrid>
      <w:tr>
        <w:trPr>
          <w:jc w:val="center"/>
          <w:trHeight w:val="930"/>
        </w:trPr>
        <w:tc>
          <w:tcPr>
            <w:gridSpan w:val="6"/>
            <w:tcW w:w="8721" w:type="dxa"/>
            <w:vAlign w:val="center"/>
            <w:textDirection w:val="lrTb"/>
            <w:noWrap w:val="false"/>
          </w:tcPr>
          <w:p>
            <w:pPr>
              <w:jc w:val="left"/>
              <w:rPr>
                <w:b/>
                <w:color w:val="000000"/>
                <w:sz w:val="24"/>
                <w:highlight w:val="none"/>
              </w:rPr>
            </w:pPr>
            <w:r>
              <w:rPr>
                <w:rFonts w:hint="eastAsia"/>
                <w:b/>
                <w:color w:val="000000"/>
                <w:sz w:val="24"/>
                <w:highlight w:val="none"/>
              </w:rPr>
              <w:t xml:space="preserve">对本项目合同条款的偏离情况（请进行勾选）：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color w:val="000000"/>
                <w:sz w:val="24"/>
                <w:highlight w:val="none"/>
              </w:rPr>
              <w:t xml:space="preserve">响应文件内容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highlight w:val="none"/>
              </w:rPr>
            </w:pPr>
            <w:r>
              <w:rPr>
                <w:color w:val="000000"/>
                <w:sz w:val="24"/>
                <w:highlight w:val="none"/>
              </w:rPr>
              <w:t xml:space="preserve">（据实填写）</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rFonts w:hint="eastAsia"/>
          <w:color w:val="000000"/>
          <w:sz w:val="24"/>
          <w:highlight w:val="none"/>
        </w:rPr>
        <w:t xml:space="preserve">注：</w:t>
      </w:r>
      <w:r/>
    </w:p>
    <w:p>
      <w:pPr>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“偏离情况”列应据实填写“正偏离”或“负偏离”。</w:t>
      </w:r>
      <w:r/>
    </w:p>
    <w:p>
      <w:pPr>
        <w:spacing w:line="360" w:lineRule="auto"/>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b/>
          <w:bCs/>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9</w:t>
      </w:r>
      <w:r>
        <w:rPr>
          <w:color w:val="000000"/>
          <w:sz w:val="24"/>
          <w:szCs w:val="20"/>
          <w:highlight w:val="none"/>
        </w:rPr>
        <w:t xml:space="preserve">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color w:val="000000"/>
          <w:sz w:val="24"/>
          <w:szCs w:val="20"/>
          <w:highlight w:val="none"/>
        </w:rPr>
        <w:t xml:space="preserve">采购需求偏离表</w:t>
      </w:r>
      <w:r/>
    </w:p>
    <w:p>
      <w:pPr>
        <w:jc w:val="center"/>
        <w:rPr>
          <w:b/>
          <w:color w:val="000000"/>
          <w:sz w:val="36"/>
          <w:szCs w:val="36"/>
          <w:highlight w:val="none"/>
        </w:rPr>
      </w:pPr>
      <w:r>
        <w:rPr>
          <w:rFonts w:hint="eastAsia"/>
          <w:b/>
          <w:color w:val="000000"/>
          <w:sz w:val="36"/>
          <w:szCs w:val="36"/>
          <w:highlight w:val="none"/>
        </w:rPr>
        <w:t xml:space="preserve">采购需求偏离表</w:t>
      </w:r>
      <w:r/>
    </w:p>
    <w:p>
      <w:pPr>
        <w:jc w:val="center"/>
        <w:rPr>
          <w:color w:val="000000"/>
          <w:sz w:val="36"/>
          <w:szCs w:val="36"/>
          <w:highlight w:val="none"/>
        </w:rPr>
      </w:pPr>
      <w:r>
        <w:rPr>
          <w:color w:val="000000"/>
          <w:sz w:val="36"/>
          <w:szCs w:val="36"/>
          <w:highlight w:val="none"/>
        </w:rPr>
      </w:r>
      <w:r/>
    </w:p>
    <w:p>
      <w:pPr>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  项目名称：_______________________</w:t>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235"/>
        <w:gridCol w:w="1838"/>
        <w:gridCol w:w="1838"/>
        <w:gridCol w:w="2266"/>
        <w:gridCol w:w="752"/>
      </w:tblGrid>
      <w:tr>
        <w:trPr>
          <w:jc w:val="center"/>
          <w:trHeight w:val="930"/>
        </w:trPr>
        <w:tc>
          <w:tcPr>
            <w:gridSpan w:val="6"/>
            <w:tcW w:w="8721" w:type="dxa"/>
            <w:vAlign w:val="center"/>
            <w:textDirection w:val="lrTb"/>
            <w:noWrap w:val="false"/>
          </w:tcPr>
          <w:p>
            <w:pPr>
              <w:jc w:val="left"/>
              <w:rPr>
                <w:b/>
                <w:color w:val="000000"/>
                <w:sz w:val="24"/>
                <w:highlight w:val="none"/>
              </w:rPr>
            </w:pPr>
            <w:r>
              <w:rPr>
                <w:rFonts w:hint="eastAsia"/>
                <w:b/>
                <w:color w:val="000000"/>
                <w:sz w:val="24"/>
                <w:highlight w:val="none"/>
              </w:rPr>
              <w:t xml:space="preserve">对本项目</w:t>
            </w:r>
            <w:r>
              <w:rPr>
                <w:rFonts w:hint="eastAsia"/>
                <w:b/>
                <w:color w:val="000000"/>
                <w:sz w:val="24"/>
                <w:highlight w:val="none"/>
                <w:lang w:val="en-US" w:eastAsia="zh-CN"/>
              </w:rPr>
              <w:t xml:space="preserve">采购需求</w:t>
            </w:r>
            <w:r>
              <w:rPr>
                <w:rFonts w:hint="eastAsia"/>
                <w:b/>
                <w:color w:val="000000"/>
                <w:sz w:val="24"/>
                <w:highlight w:val="none"/>
              </w:rPr>
              <w:t xml:space="preserve">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color w:val="000000"/>
                <w:sz w:val="24"/>
                <w:highlight w:val="none"/>
              </w:rPr>
              <w:t xml:space="preserve">响应文件内容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highlight w:val="none"/>
              </w:rPr>
            </w:pPr>
            <w:r>
              <w:rPr>
                <w:color w:val="000000"/>
                <w:sz w:val="24"/>
                <w:highlight w:val="none"/>
              </w:rPr>
              <w:t xml:space="preserve">（据实填写）</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。此表中若无任何文字说明，内容为空白，均视作供应商已对之理解和</w:t>
      </w:r>
      <w:r>
        <w:rPr>
          <w:rFonts w:hint="eastAsia"/>
          <w:color w:val="000000"/>
          <w:sz w:val="24"/>
          <w:highlight w:val="none"/>
        </w:rPr>
        <w:t xml:space="preserve">响应</w:t>
      </w:r>
      <w:r>
        <w:rPr>
          <w:color w:val="000000"/>
          <w:sz w:val="24"/>
          <w:highlight w:val="none"/>
        </w:rPr>
        <w:t xml:space="preserve">。</w:t>
      </w:r>
      <w:r/>
    </w:p>
    <w:p>
      <w:pPr>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p>
    <w:p>
      <w:pPr>
        <w:jc w:val="left"/>
        <w:tabs>
          <w:tab w:val="left" w:pos="1800" w:leader="none"/>
          <w:tab w:val="left" w:pos="5580" w:leader="none"/>
        </w:tabs>
        <w:rPr>
          <w:color w:val="000000"/>
          <w:sz w:val="24"/>
          <w:highlight w:val="none"/>
        </w:rPr>
      </w:pPr>
      <w:r>
        <w:rPr>
          <w:color w:val="000000"/>
          <w:sz w:val="24"/>
          <w:highlight w:val="none"/>
        </w:rPr>
      </w:r>
      <w:r/>
    </w:p>
    <w:p>
      <w:pPr>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ind w:right="1560"/>
        <w:jc w:val="both"/>
        <w:spacing w:line="588" w:lineRule="exact"/>
        <w:tabs>
          <w:tab w:val="left" w:pos="4860" w:leader="none"/>
        </w:tabs>
        <w:rPr>
          <w:rFonts w:hint="eastAsia"/>
          <w:color w:val="000000"/>
          <w:sz w:val="24"/>
          <w:szCs w:val="20"/>
          <w:highlight w:val="none"/>
        </w:rPr>
      </w:pPr>
      <w:r>
        <w:rPr>
          <w:rFonts w:hint="eastAsia"/>
          <w:color w:val="000000"/>
          <w:sz w:val="24"/>
          <w:szCs w:val="20"/>
          <w:highlight w:val="none"/>
        </w:rPr>
      </w:r>
      <w:r/>
    </w:p>
    <w:p>
      <w:pPr>
        <w:pStyle w:val="804"/>
        <w:rPr>
          <w:rFonts w:hint="eastAsia"/>
          <w:color w:val="000000"/>
          <w:highlight w:val="none"/>
        </w:rPr>
      </w:pPr>
      <w:r>
        <w:rPr>
          <w:rFonts w:hint="eastAsia"/>
          <w:color w:val="000000"/>
          <w:highlight w:val="none"/>
        </w:rPr>
      </w:r>
      <w:r/>
    </w:p>
    <w:p>
      <w:pPr>
        <w:rPr>
          <w:rFonts w:hint="eastAsia"/>
          <w:color w:val="000000"/>
          <w:sz w:val="24"/>
          <w:szCs w:val="20"/>
          <w:highlight w:val="none"/>
        </w:rPr>
      </w:pPr>
      <w:r>
        <w:rPr>
          <w:rFonts w:hint="eastAsia"/>
          <w:color w:val="000000"/>
          <w:sz w:val="24"/>
          <w:szCs w:val="20"/>
          <w:highlight w:val="none"/>
        </w:rPr>
      </w:r>
      <w:r/>
    </w:p>
    <w:p>
      <w:pPr>
        <w:rPr>
          <w:rFonts w:hint="eastAsia"/>
          <w:color w:val="000000"/>
          <w:sz w:val="24"/>
          <w:szCs w:val="20"/>
          <w:highlight w:val="none"/>
        </w:rPr>
      </w:pPr>
      <w:r>
        <w:rPr>
          <w:rFonts w:hint="eastAsia"/>
          <w:color w:val="000000"/>
          <w:sz w:val="24"/>
          <w:szCs w:val="20"/>
          <w:highlight w:val="none"/>
        </w:rPr>
      </w:r>
      <w:r/>
    </w:p>
    <w:p>
      <w:pPr>
        <w:rPr>
          <w:color w:val="000000"/>
          <w:sz w:val="24"/>
          <w:szCs w:val="20"/>
          <w:highlight w:val="none"/>
        </w:rPr>
      </w:pPr>
      <w:r>
        <w:rPr>
          <w:rFonts w:hint="eastAsia"/>
          <w:color w:val="000000"/>
          <w:sz w:val="24"/>
          <w:szCs w:val="20"/>
          <w:highlight w:val="none"/>
          <w:lang w:val="en-US" w:eastAsia="zh-CN"/>
        </w:rPr>
        <w:t xml:space="preserve">10</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p>
    <w:p>
      <w:pPr>
        <w:ind w:firstLine="480"/>
        <w:spacing w:line="560" w:lineRule="exact"/>
        <w:rPr>
          <w:color w:val="000000"/>
          <w:sz w:val="24"/>
          <w:szCs w:val="20"/>
          <w:highlight w:val="none"/>
        </w:rPr>
      </w:pPr>
      <w:r>
        <w:rPr>
          <w:rFonts w:hint="eastAsia"/>
          <w:color w:val="000000"/>
          <w:sz w:val="24"/>
          <w:szCs w:val="20"/>
          <w:highlight w:val="none"/>
        </w:rPr>
        <w:t xml:space="preserve">1）项目组织实施方案；</w:t>
      </w:r>
      <w:r/>
    </w:p>
    <w:p>
      <w:pPr>
        <w:ind w:firstLine="480"/>
        <w:spacing w:line="560" w:lineRule="exact"/>
        <w:rPr>
          <w:color w:val="000000"/>
          <w:sz w:val="24"/>
          <w:szCs w:val="20"/>
          <w:highlight w:val="none"/>
        </w:rPr>
      </w:pPr>
      <w:r>
        <w:rPr>
          <w:rFonts w:hint="eastAsia"/>
          <w:color w:val="000000"/>
          <w:sz w:val="24"/>
          <w:szCs w:val="20"/>
          <w:highlight w:val="none"/>
        </w:rPr>
        <w:t xml:space="preserve">2）项目管理方案；</w:t>
      </w:r>
      <w:r/>
    </w:p>
    <w:p>
      <w:pPr>
        <w:ind w:firstLine="480"/>
        <w:spacing w:line="560" w:lineRule="exact"/>
        <w:rPr>
          <w:color w:val="000000"/>
          <w:sz w:val="24"/>
          <w:szCs w:val="20"/>
          <w:highlight w:val="none"/>
        </w:rPr>
      </w:pPr>
      <w:r>
        <w:rPr>
          <w:rFonts w:hint="eastAsia"/>
          <w:color w:val="000000"/>
          <w:sz w:val="24"/>
          <w:szCs w:val="20"/>
          <w:highlight w:val="none"/>
        </w:rPr>
        <w:t xml:space="preserve">3）拟达到的标准，配备的人员、设备配置等；</w:t>
      </w:r>
      <w:r/>
    </w:p>
    <w:p>
      <w:pPr>
        <w:ind w:firstLine="480"/>
        <w:spacing w:line="560" w:lineRule="exact"/>
        <w:rPr>
          <w:color w:val="000000"/>
          <w:sz w:val="24"/>
          <w:szCs w:val="20"/>
          <w:highlight w:val="none"/>
        </w:rPr>
      </w:pPr>
      <w:r>
        <w:rPr>
          <w:rFonts w:hint="eastAsia"/>
          <w:color w:val="000000"/>
          <w:sz w:val="24"/>
          <w:szCs w:val="20"/>
          <w:highlight w:val="none"/>
        </w:rPr>
        <w:t xml:space="preserve">4）培训方案、技术支持等方案；</w:t>
      </w:r>
      <w:r/>
    </w:p>
    <w:p>
      <w:pPr>
        <w:ind w:firstLine="480"/>
        <w:spacing w:line="560" w:lineRule="exact"/>
        <w:rPr>
          <w:rFonts w:hint="eastAsia"/>
          <w:color w:val="000000"/>
          <w:sz w:val="24"/>
          <w:szCs w:val="20"/>
          <w:highlight w:val="none"/>
        </w:rPr>
      </w:pPr>
      <w:r>
        <w:rPr>
          <w:rFonts w:hint="eastAsia"/>
          <w:color w:val="000000"/>
          <w:sz w:val="24"/>
          <w:szCs w:val="20"/>
          <w:highlight w:val="none"/>
        </w:rPr>
        <w:t xml:space="preserve">5）优惠条款或承诺；</w:t>
      </w:r>
      <w:r/>
    </w:p>
    <w:p>
      <w:pPr>
        <w:ind w:firstLine="480"/>
        <w:spacing w:line="560" w:lineRule="exact"/>
        <w:rPr>
          <w:color w:val="000000"/>
          <w:sz w:val="24"/>
          <w:szCs w:val="20"/>
          <w:highlight w:val="none"/>
        </w:rPr>
      </w:pPr>
      <w:r>
        <w:rPr>
          <w:rFonts w:hint="eastAsia"/>
          <w:color w:val="000000"/>
          <w:sz w:val="24"/>
          <w:szCs w:val="20"/>
          <w:highlight w:val="none"/>
        </w:rPr>
        <w:t xml:space="preserve">6）其他。</w:t>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pStyle w:val="804"/>
        <w:rPr>
          <w:rFonts w:hint="eastAsia"/>
          <w:color w:val="000000"/>
          <w:highlight w:val="none"/>
        </w:rPr>
      </w:pPr>
      <w:r>
        <w:rPr>
          <w:rFonts w:hint="eastAsia"/>
          <w:color w:val="00000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1</w:t>
      </w:r>
      <w:r>
        <w:rPr>
          <w:rFonts w:hint="eastAsia"/>
          <w:color w:val="000000"/>
          <w:sz w:val="24"/>
          <w:szCs w:val="20"/>
          <w:highlight w:val="none"/>
        </w:rPr>
        <w:t xml:space="preserve">  参加本项目人员一览表</w:t>
      </w:r>
      <w:r/>
    </w:p>
    <w:p>
      <w:p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p>
    <w:p>
      <w:pPr>
        <w:spacing w:line="360" w:lineRule="auto"/>
        <w:rPr>
          <w:rFonts w:ascii="宋体" w:hAnsi="宋体"/>
          <w:color w:val="000000"/>
          <w:sz w:val="22"/>
          <w:highlight w:val="none"/>
        </w:rPr>
      </w:pPr>
      <w:r>
        <w:rPr>
          <w:rFonts w:ascii="宋体" w:hAnsi="宋体"/>
          <w:color w:val="000000"/>
          <w:sz w:val="22"/>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781"/>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p>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p>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bl>
    <w:p>
      <w:pPr>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p>
    <w:p>
      <w:pPr>
        <w:spacing w:line="360" w:lineRule="auto"/>
        <w:rPr>
          <w:rFonts w:ascii="宋体" w:hAnsi="宋体"/>
          <w:color w:val="000000"/>
          <w:sz w:val="24"/>
          <w:highlight w:val="none"/>
        </w:rPr>
      </w:pPr>
      <w:r>
        <w:rPr>
          <w:rFonts w:ascii="宋体" w:hAnsi="宋体"/>
          <w:color w:val="000000"/>
          <w:sz w:val="24"/>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rPr>
          <w:rFonts w:hint="eastAsia"/>
          <w:color w:val="000000"/>
          <w:sz w:val="22"/>
          <w:highlight w:val="none"/>
        </w:rPr>
      </w:pPr>
      <w:r>
        <w:rPr>
          <w:color w:val="000000"/>
          <w:sz w:val="22"/>
          <w:highlight w:val="none"/>
        </w:rPr>
        <w:br w:type="page" w:clear="all"/>
      </w:r>
      <w:bookmarkStart w:id="740" w:name="_Toc288738839"/>
      <w:r/>
      <w:bookmarkStart w:id="741" w:name="_Toc288738397"/>
      <w:r/>
      <w:r/>
    </w:p>
    <w:p>
      <w:pPr>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相关业绩案例一览表</w:t>
      </w:r>
      <w:r/>
    </w:p>
    <w:p>
      <w:pPr>
        <w:rPr>
          <w:color w:val="000000"/>
          <w:sz w:val="24"/>
          <w:szCs w:val="20"/>
          <w:highlight w:val="none"/>
        </w:rPr>
      </w:pPr>
      <w:r>
        <w:rPr>
          <w:color w:val="000000"/>
          <w:sz w:val="24"/>
          <w:szCs w:val="20"/>
          <w:highlight w:val="none"/>
        </w:rPr>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740"/>
      <w:r/>
      <w:bookmarkEnd w:id="741"/>
      <w:r/>
      <w:r/>
    </w:p>
    <w:p>
      <w:pPr>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78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rPr>
          <w:rFonts w:hint="eastAsia"/>
          <w:color w:val="000000"/>
          <w:sz w:val="24"/>
          <w:szCs w:val="20"/>
          <w:highlight w:val="none"/>
          <w:lang w:val="en-US" w:eastAsia="zh-CN"/>
        </w:rPr>
      </w:pPr>
      <w:r>
        <w:rPr>
          <w:rFonts w:hint="eastAsia"/>
          <w:color w:val="000000"/>
          <w:sz w:val="24"/>
          <w:szCs w:val="20"/>
          <w:highlight w:val="none"/>
          <w:lang w:val="en-US" w:eastAsia="zh-CN"/>
        </w:rPr>
        <w:br w:type="page" w:clear="all"/>
      </w:r>
      <w:r/>
    </w:p>
    <w:p>
      <w:pPr>
        <w:spacing w:line="360" w:lineRule="auto"/>
        <w:rPr>
          <w:color w:val="000000"/>
          <w:sz w:val="24"/>
          <w:highlight w:val="none"/>
          <w:lang w:val="zh-CN"/>
        </w:rPr>
        <w:outlineLvl w:val="2"/>
      </w:pPr>
      <w:r/>
      <w:bookmarkStart w:id="742" w:name="_GoBack"/>
      <w:r/>
      <w:bookmarkEnd w:id="742"/>
      <w:r>
        <w:rPr>
          <w:rFonts w:hint="eastAsia"/>
          <w:color w:val="000000"/>
          <w:sz w:val="24"/>
          <w:szCs w:val="20"/>
          <w:highlight w:val="none"/>
          <w:lang w:val="en-US" w:eastAsia="zh-CN"/>
        </w:rPr>
        <w:t xml:space="preserve">13</w:t>
      </w:r>
      <w:r>
        <w:rPr>
          <w:color w:val="000000"/>
          <w:sz w:val="24"/>
          <w:szCs w:val="20"/>
          <w:highlight w:val="none"/>
        </w:rPr>
        <w:t xml:space="preserve">  磋商文件要求提供或供应商认为应附的其他材料</w:t>
      </w:r>
      <w:r/>
    </w:p>
    <w:sectPr>
      <w:headerReference w:type="even" r:id="rId9"/>
      <w:headerReference w:type="first" r:id="rId10"/>
      <w:footerReference w:type="even" r:id="rId14"/>
      <w:footerReference w:type="first" r:id="rId15"/>
      <w:footnotePr/>
      <w:endnotePr/>
      <w:type w:val="nextPage"/>
      <w:pgSz w:w="11907" w:h="16840" w:orient="portrait"/>
      <w:pgMar w:top="1418" w:right="1701"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Wingdings 2">
    <w:panose1 w:val="05020102010507070707"/>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1025"/>
      </w:rPr>
      <w:framePr w:wrap="around" w:vAnchor="text" w:hAnchor="margin" w:xAlign="right" w:y="1"/>
    </w:pPr>
    <w:r>
      <w:rPr>
        <w:rStyle w:val="1025"/>
      </w:rPr>
      <w:fldChar w:fldCharType="begin"/>
    </w:r>
    <w:r>
      <w:rPr>
        <w:rStyle w:val="1025"/>
      </w:rPr>
      <w:instrText xml:space="preserve">PAGE  </w:instrText>
    </w:r>
    <w:r>
      <w:rPr>
        <w:rStyle w:val="1025"/>
      </w:rPr>
      <w:fldChar w:fldCharType="end"/>
    </w:r>
    <w:r/>
  </w:p>
  <w:p>
    <w:pPr>
      <w:pStyle w:val="999"/>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1025"/>
      </w:rPr>
      <w:framePr w:wrap="around" w:vAnchor="text" w:hAnchor="margin" w:xAlign="right" w:y="1"/>
    </w:pPr>
    <w:r>
      <w:rPr>
        <w:rStyle w:val="1025"/>
      </w:rPr>
      <w:fldChar w:fldCharType="begin"/>
    </w:r>
    <w:r>
      <w:rPr>
        <w:rStyle w:val="1025"/>
      </w:rPr>
      <w:instrText xml:space="preserve">PAGE  </w:instrText>
    </w:r>
    <w:r>
      <w:rPr>
        <w:rStyle w:val="1025"/>
      </w:rPr>
      <w:fldChar w:fldCharType="end"/>
    </w:r>
    <w:r/>
  </w:p>
  <w:p>
    <w:pPr>
      <w:pStyle w:val="999"/>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0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9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5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isLgl w:val="false"/>
      <w:suff w:val="tab"/>
      <w:lvlText w:val="(%1)"/>
      <w:lvlJc w:val="left"/>
      <w:pPr>
        <w:ind w:left="1129" w:hanging="420"/>
      </w:p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abstractNum w:abstractNumId="7">
    <w:multiLevelType w:val="hybridMultilevel"/>
    <w:lvl w:ilvl="0">
      <w:start w:val="1"/>
      <w:numFmt w:val="chineseCountingThousand"/>
      <w:isLgl w:val="false"/>
      <w:suff w:val="tab"/>
      <w:lvlText w:val="%1、"/>
      <w:lvlJc w:val="left"/>
      <w:pPr>
        <w:ind w:left="1280" w:hanging="720"/>
      </w:pPr>
      <w:rPr>
        <w:rFonts w:hint="eastAsia"/>
      </w:rPr>
    </w:lvl>
    <w:lvl w:ilvl="1">
      <w:start w:val="1"/>
      <w:numFmt w:val="decimal"/>
      <w:isLgl w:val="false"/>
      <w:suff w:val="tab"/>
      <w:lvlText w:val="%2、"/>
      <w:lvlJc w:val="left"/>
      <w:pPr>
        <w:ind w:left="1955" w:hanging="975"/>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5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5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9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8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98"/>
      <w:isLgl w:val="false"/>
      <w:suff w:val="nothing"/>
      <w:lvlText w:val="%1.%2.%3.%4.%5.%6　"/>
      <w:lvlJc w:val="left"/>
      <w:pPr>
        <w:ind w:left="-25" w:firstLine="0"/>
      </w:pPr>
      <w:rPr>
        <w:rFonts w:ascii="Times New Roman" w:hAnsi="Times New Roman" w:eastAsia="宋体"/>
        <w:b/>
        <w:i w:val="0"/>
        <w:sz w:val="28"/>
      </w:rPr>
    </w:lvl>
    <w:lvl w:ilvl="6">
      <w:start w:val="1"/>
      <w:numFmt w:val="lowerLetter"/>
      <w:pStyle w:val="111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7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1">
    <w:multiLevelType w:val="hybridMultilevel"/>
    <w:lvl w:ilvl="0">
      <w:start w:val="1"/>
      <w:numFmt w:val="lowerLetter"/>
      <w:pStyle w:val="113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60"/>
      <w:isLgl w:val="false"/>
      <w:suff w:val="tab"/>
      <w:lvlText w:val="%1"/>
      <w:lvlJc w:val="left"/>
      <w:pPr>
        <w:ind w:left="680" w:hanging="680"/>
      </w:pPr>
      <w:rPr>
        <w:rFonts w:hint="eastAsia" w:ascii="宋体" w:hAnsi="宋体" w:eastAsia="宋体"/>
      </w:rPr>
    </w:lvl>
    <w:lvl w:ilvl="1">
      <w:start w:val="1"/>
      <w:numFmt w:val="decimal"/>
      <w:pStyle w:val="1161"/>
      <w:isLgl w:val="false"/>
      <w:suff w:val="tab"/>
      <w:lvlText w:val="%1.%2"/>
      <w:lvlJc w:val="left"/>
      <w:pPr>
        <w:ind w:left="851" w:hanging="851"/>
      </w:pPr>
      <w:rPr>
        <w:rFonts w:hint="eastAsia" w:ascii="宋体" w:hAnsi="宋体" w:eastAsia="宋体"/>
        <w:color w:val="000000"/>
      </w:rPr>
    </w:lvl>
    <w:lvl w:ilvl="2">
      <w:start w:val="1"/>
      <w:numFmt w:val="decimal"/>
      <w:pStyle w:val="116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4">
    <w:multiLevelType w:val="hybridMultilevel"/>
    <w:lvl w:ilvl="0">
      <w:start w:val="1"/>
      <w:numFmt w:val="decimal"/>
      <w:isLgl w:val="false"/>
      <w:suff w:val="tab"/>
      <w:lvlText w:val="（%1）"/>
      <w:lvlJc w:val="left"/>
      <w:pPr>
        <w:ind w:left="0" w:firstLine="0"/>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06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9"/>
  </w:num>
  <w:num w:numId="2">
    <w:abstractNumId w:val="5"/>
  </w:num>
  <w:num w:numId="3">
    <w:abstractNumId w:val="16"/>
  </w:num>
  <w:num w:numId="4">
    <w:abstractNumId w:val="3"/>
  </w:num>
  <w:num w:numId="5">
    <w:abstractNumId w:val="2"/>
  </w:num>
  <w:num w:numId="6">
    <w:abstractNumId w:val="11"/>
  </w:num>
  <w:num w:numId="7">
    <w:abstractNumId w:val="13"/>
  </w:num>
  <w:num w:numId="8">
    <w:abstractNumId w:val="18"/>
  </w:num>
  <w:num w:numId="9">
    <w:abstractNumId w:val="10"/>
  </w:num>
  <w:num w:numId="10">
    <w:abstractNumId w:val="0"/>
  </w:num>
  <w:num w:numId="11">
    <w:abstractNumId w:val="14"/>
  </w:num>
  <w:num w:numId="12">
    <w:abstractNumId w:val="17"/>
  </w:num>
  <w:num w:numId="13">
    <w:abstractNumId w:val="4"/>
  </w:num>
  <w:num w:numId="14">
    <w:abstractNumId w:val="15"/>
  </w:num>
  <w:num w:numId="15">
    <w:abstractNumId w:val="8"/>
  </w:num>
  <w:num w:numId="16">
    <w:abstractNumId w:val="12"/>
  </w:num>
  <w:num w:numId="17">
    <w:abstractNumId w:val="7"/>
  </w:num>
  <w:num w:numId="18">
    <w:abstractNumId w:val="6"/>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next w:val="782"/>
    <w:link w:val="12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1">
    <w:name w:val="Heading 1"/>
    <w:basedOn w:val="770"/>
    <w:next w:val="770"/>
    <w:link w:val="805"/>
    <w:uiPriority w:val="9"/>
    <w:qFormat/>
    <w:pPr>
      <w:keepLines/>
      <w:keepNext/>
      <w:spacing w:before="480" w:after="200"/>
      <w:outlineLvl w:val="0"/>
    </w:pPr>
    <w:rPr>
      <w:rFonts w:ascii="Arial" w:hAnsi="Arial" w:eastAsia="Arial" w:cs="Arial"/>
      <w:sz w:val="40"/>
      <w:szCs w:val="40"/>
    </w:rPr>
  </w:style>
  <w:style w:type="paragraph" w:styleId="772">
    <w:name w:val="Heading 2"/>
    <w:basedOn w:val="770"/>
    <w:next w:val="770"/>
    <w:link w:val="806"/>
    <w:uiPriority w:val="9"/>
    <w:unhideWhenUsed/>
    <w:qFormat/>
    <w:pPr>
      <w:keepLines/>
      <w:keepNext/>
      <w:spacing w:before="360" w:after="200"/>
      <w:outlineLvl w:val="1"/>
    </w:pPr>
    <w:rPr>
      <w:rFonts w:ascii="Arial" w:hAnsi="Arial" w:eastAsia="Arial" w:cs="Arial"/>
      <w:sz w:val="34"/>
    </w:rPr>
  </w:style>
  <w:style w:type="paragraph" w:styleId="773">
    <w:name w:val="Heading 3"/>
    <w:basedOn w:val="770"/>
    <w:next w:val="770"/>
    <w:link w:val="807"/>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770"/>
    <w:next w:val="770"/>
    <w:link w:val="808"/>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link w:val="809"/>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link w:val="810"/>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link w:val="812"/>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link w:val="813"/>
    <w:uiPriority w:val="9"/>
    <w:unhideWhenUsed/>
    <w:qFormat/>
    <w:pPr>
      <w:keepLines/>
      <w:keepNext/>
      <w:spacing w:before="320" w:after="200"/>
      <w:outlineLvl w:val="8"/>
    </w:pPr>
    <w:rPr>
      <w:rFonts w:ascii="Arial" w:hAnsi="Arial" w:eastAsia="Arial" w:cs="Arial"/>
      <w:i/>
      <w:iCs/>
      <w:sz w:val="21"/>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Body Text"/>
    <w:basedOn w:val="770"/>
    <w:uiPriority w:val="0"/>
    <w:qFormat/>
    <w:pPr>
      <w:spacing w:before="120" w:line="22" w:lineRule="atLeast"/>
      <w:tabs>
        <w:tab w:val="left" w:pos="567" w:leader="none"/>
      </w:tabs>
    </w:pPr>
    <w:rPr>
      <w:rFonts w:ascii="宋体" w:hAnsi="宋体"/>
      <w:sz w:val="24"/>
    </w:rPr>
  </w:style>
  <w:style w:type="paragraph" w:styleId="783">
    <w:name w:val="toc 7"/>
    <w:basedOn w:val="770"/>
    <w:next w:val="770"/>
    <w:uiPriority w:val="39"/>
    <w:unhideWhenUsed/>
    <w:qFormat/>
    <w:pPr>
      <w:ind w:left="1701" w:right="0" w:firstLine="0"/>
      <w:spacing w:after="57"/>
    </w:pPr>
  </w:style>
  <w:style w:type="paragraph" w:styleId="784">
    <w:name w:val="Caption"/>
    <w:basedOn w:val="770"/>
    <w:next w:val="770"/>
    <w:uiPriority w:val="35"/>
    <w:semiHidden/>
    <w:unhideWhenUsed/>
    <w:qFormat/>
    <w:pPr>
      <w:spacing w:line="276" w:lineRule="auto"/>
    </w:pPr>
    <w:rPr>
      <w:b/>
      <w:bCs/>
      <w:color w:val="4f81bd" w:themeColor="accent1"/>
      <w:sz w:val="18"/>
      <w:szCs w:val="18"/>
    </w:rPr>
  </w:style>
  <w:style w:type="paragraph" w:styleId="785">
    <w:name w:val="toc 5"/>
    <w:basedOn w:val="770"/>
    <w:next w:val="770"/>
    <w:uiPriority w:val="39"/>
    <w:unhideWhenUsed/>
    <w:qFormat/>
    <w:pPr>
      <w:ind w:left="1134" w:right="0" w:firstLine="0"/>
      <w:spacing w:after="57"/>
    </w:pPr>
  </w:style>
  <w:style w:type="paragraph" w:styleId="786">
    <w:name w:val="toc 3"/>
    <w:basedOn w:val="770"/>
    <w:next w:val="770"/>
    <w:uiPriority w:val="39"/>
    <w:unhideWhenUsed/>
    <w:qFormat/>
    <w:pPr>
      <w:ind w:left="567" w:right="0" w:firstLine="0"/>
      <w:spacing w:after="57"/>
    </w:pPr>
  </w:style>
  <w:style w:type="paragraph" w:styleId="787">
    <w:name w:val="toc 8"/>
    <w:basedOn w:val="770"/>
    <w:next w:val="770"/>
    <w:uiPriority w:val="39"/>
    <w:unhideWhenUsed/>
    <w:qFormat/>
    <w:pPr>
      <w:ind w:left="1984" w:right="0" w:firstLine="0"/>
      <w:spacing w:after="57"/>
    </w:pPr>
  </w:style>
  <w:style w:type="paragraph" w:styleId="788">
    <w:name w:val="endnote text"/>
    <w:basedOn w:val="770"/>
    <w:link w:val="950"/>
    <w:uiPriority w:val="99"/>
    <w:semiHidden/>
    <w:unhideWhenUsed/>
    <w:qFormat/>
    <w:pPr>
      <w:spacing w:after="0" w:line="240" w:lineRule="auto"/>
    </w:pPr>
    <w:rPr>
      <w:sz w:val="20"/>
    </w:rPr>
  </w:style>
  <w:style w:type="paragraph" w:styleId="789">
    <w:name w:val="Footer"/>
    <w:basedOn w:val="770"/>
    <w:link w:val="823"/>
    <w:uiPriority w:val="99"/>
    <w:unhideWhenUsed/>
    <w:qFormat/>
    <w:pPr>
      <w:spacing w:after="0" w:line="240" w:lineRule="auto"/>
      <w:tabs>
        <w:tab w:val="center" w:pos="7143" w:leader="none"/>
        <w:tab w:val="right" w:pos="14287" w:leader="none"/>
      </w:tabs>
    </w:pPr>
  </w:style>
  <w:style w:type="paragraph" w:styleId="790">
    <w:name w:val="Header"/>
    <w:basedOn w:val="770"/>
    <w:link w:val="821"/>
    <w:uiPriority w:val="99"/>
    <w:unhideWhenUsed/>
    <w:qFormat/>
    <w:pPr>
      <w:spacing w:after="0" w:line="240" w:lineRule="auto"/>
      <w:tabs>
        <w:tab w:val="center" w:pos="7143" w:leader="none"/>
        <w:tab w:val="right" w:pos="14287" w:leader="none"/>
      </w:tabs>
    </w:pPr>
  </w:style>
  <w:style w:type="paragraph" w:styleId="791">
    <w:name w:val="toc 1"/>
    <w:basedOn w:val="770"/>
    <w:next w:val="770"/>
    <w:uiPriority w:val="39"/>
    <w:unhideWhenUsed/>
    <w:qFormat/>
    <w:pPr>
      <w:ind w:left="0" w:right="0" w:firstLine="0"/>
      <w:spacing w:after="57"/>
    </w:pPr>
  </w:style>
  <w:style w:type="paragraph" w:styleId="792">
    <w:name w:val="toc 4"/>
    <w:basedOn w:val="770"/>
    <w:next w:val="770"/>
    <w:uiPriority w:val="39"/>
    <w:unhideWhenUsed/>
    <w:qFormat/>
    <w:pPr>
      <w:ind w:left="850" w:right="0" w:firstLine="0"/>
      <w:spacing w:after="57"/>
    </w:pPr>
  </w:style>
  <w:style w:type="paragraph" w:styleId="793">
    <w:name w:val="Subtitle"/>
    <w:basedOn w:val="770"/>
    <w:next w:val="770"/>
    <w:link w:val="816"/>
    <w:uiPriority w:val="11"/>
    <w:qFormat/>
    <w:pPr>
      <w:spacing w:before="200" w:after="200"/>
    </w:pPr>
    <w:rPr>
      <w:sz w:val="24"/>
      <w:szCs w:val="24"/>
    </w:rPr>
  </w:style>
  <w:style w:type="paragraph" w:styleId="794">
    <w:name w:val="footnote text"/>
    <w:basedOn w:val="770"/>
    <w:link w:val="949"/>
    <w:uiPriority w:val="99"/>
    <w:semiHidden/>
    <w:unhideWhenUsed/>
    <w:qFormat/>
    <w:pPr>
      <w:spacing w:after="40" w:line="240" w:lineRule="auto"/>
    </w:pPr>
    <w:rPr>
      <w:sz w:val="18"/>
    </w:rPr>
  </w:style>
  <w:style w:type="paragraph" w:styleId="795">
    <w:name w:val="toc 6"/>
    <w:basedOn w:val="770"/>
    <w:next w:val="770"/>
    <w:uiPriority w:val="39"/>
    <w:unhideWhenUsed/>
    <w:qFormat/>
    <w:pPr>
      <w:ind w:left="1417" w:right="0" w:firstLine="0"/>
      <w:spacing w:after="57"/>
    </w:pPr>
  </w:style>
  <w:style w:type="paragraph" w:styleId="796">
    <w:name w:val="table of figures"/>
    <w:basedOn w:val="770"/>
    <w:next w:val="770"/>
    <w:uiPriority w:val="99"/>
    <w:unhideWhenUsed/>
    <w:qFormat/>
    <w:pPr>
      <w:spacing w:after="0" w:afterAutospacing="0"/>
    </w:pPr>
  </w:style>
  <w:style w:type="paragraph" w:styleId="797">
    <w:name w:val="toc 2"/>
    <w:basedOn w:val="770"/>
    <w:next w:val="770"/>
    <w:uiPriority w:val="39"/>
    <w:unhideWhenUsed/>
    <w:qFormat/>
    <w:pPr>
      <w:ind w:left="283" w:right="0" w:firstLine="0"/>
      <w:spacing w:after="57"/>
    </w:pPr>
  </w:style>
  <w:style w:type="paragraph" w:styleId="798">
    <w:name w:val="toc 9"/>
    <w:basedOn w:val="770"/>
    <w:next w:val="770"/>
    <w:uiPriority w:val="39"/>
    <w:unhideWhenUsed/>
    <w:qFormat/>
    <w:pPr>
      <w:ind w:left="2268" w:right="0" w:firstLine="0"/>
      <w:spacing w:after="57"/>
    </w:pPr>
  </w:style>
  <w:style w:type="paragraph" w:styleId="799">
    <w:name w:val="Title"/>
    <w:basedOn w:val="770"/>
    <w:next w:val="770"/>
    <w:link w:val="815"/>
    <w:uiPriority w:val="10"/>
    <w:qFormat/>
    <w:pPr>
      <w:contextualSpacing/>
      <w:spacing w:before="300" w:after="200"/>
    </w:pPr>
    <w:rPr>
      <w:sz w:val="48"/>
      <w:szCs w:val="48"/>
    </w:r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semiHidden/>
    <w:unhideWhenUsed/>
    <w:qFormat/>
    <w:rPr>
      <w:vertAlign w:val="superscript"/>
    </w:rPr>
  </w:style>
  <w:style w:type="character" w:styleId="802">
    <w:name w:val="Hyperlink"/>
    <w:uiPriority w:val="99"/>
    <w:unhideWhenUsed/>
    <w:qFormat/>
    <w:rPr>
      <w:color w:val="0000ff" w:themeColor="hyperlink"/>
      <w:u w:val="single"/>
    </w:rPr>
  </w:style>
  <w:style w:type="character" w:styleId="803">
    <w:name w:val="footnote reference"/>
    <w:uiPriority w:val="99"/>
    <w:unhideWhenUsed/>
    <w:qFormat/>
    <w:rPr>
      <w:vertAlign w:val="superscript"/>
    </w:rPr>
  </w:style>
  <w:style w:type="paragraph" w:styleId="804" w:customStyle="1">
    <w:name w:val="标题 31"/>
    <w:basedOn w:val="770"/>
    <w:next w:val="770"/>
    <w:link w:val="962"/>
    <w:uiPriority w:val="0"/>
    <w:qFormat/>
    <w:pPr>
      <w:jc w:val="left"/>
      <w:keepLines/>
      <w:keepNext/>
      <w:spacing w:before="360" w:after="120"/>
      <w:outlineLvl w:val="2"/>
    </w:pPr>
    <w:rPr>
      <w:rFonts w:ascii="宋体"/>
      <w:b/>
      <w:sz w:val="24"/>
      <w:szCs w:val="20"/>
      <w:u w:val="single"/>
    </w:rPr>
  </w:style>
  <w:style w:type="character" w:styleId="805" w:customStyle="1">
    <w:name w:val="Heading 1 Char"/>
    <w:link w:val="771"/>
    <w:uiPriority w:val="9"/>
    <w:qFormat/>
    <w:rPr>
      <w:rFonts w:ascii="Arial" w:hAnsi="Arial" w:eastAsia="Arial" w:cs="Arial"/>
      <w:sz w:val="40"/>
      <w:szCs w:val="40"/>
    </w:rPr>
  </w:style>
  <w:style w:type="character" w:styleId="806" w:customStyle="1">
    <w:name w:val="Heading 2 Char"/>
    <w:link w:val="772"/>
    <w:uiPriority w:val="9"/>
    <w:qFormat/>
    <w:rPr>
      <w:rFonts w:ascii="Arial" w:hAnsi="Arial" w:eastAsia="Arial" w:cs="Arial"/>
      <w:sz w:val="34"/>
    </w:rPr>
  </w:style>
  <w:style w:type="character" w:styleId="807" w:customStyle="1">
    <w:name w:val="Heading 3 Char"/>
    <w:link w:val="773"/>
    <w:uiPriority w:val="9"/>
    <w:qFormat/>
    <w:rPr>
      <w:rFonts w:ascii="Arial" w:hAnsi="Arial" w:eastAsia="Arial" w:cs="Arial"/>
      <w:sz w:val="30"/>
      <w:szCs w:val="30"/>
    </w:rPr>
  </w:style>
  <w:style w:type="character" w:styleId="808" w:customStyle="1">
    <w:name w:val="Heading 4 Char"/>
    <w:link w:val="774"/>
    <w:uiPriority w:val="9"/>
    <w:qFormat/>
    <w:rPr>
      <w:rFonts w:ascii="Arial" w:hAnsi="Arial" w:eastAsia="Arial" w:cs="Arial"/>
      <w:b/>
      <w:bCs/>
      <w:sz w:val="26"/>
      <w:szCs w:val="26"/>
    </w:rPr>
  </w:style>
  <w:style w:type="character" w:styleId="809" w:customStyle="1">
    <w:name w:val="Heading 5 Char"/>
    <w:link w:val="775"/>
    <w:uiPriority w:val="9"/>
    <w:qFormat/>
    <w:rPr>
      <w:rFonts w:ascii="Arial" w:hAnsi="Arial" w:eastAsia="Arial" w:cs="Arial"/>
      <w:b/>
      <w:bCs/>
      <w:sz w:val="24"/>
      <w:szCs w:val="24"/>
    </w:rPr>
  </w:style>
  <w:style w:type="character" w:styleId="810" w:customStyle="1">
    <w:name w:val="Heading 6 Char"/>
    <w:link w:val="776"/>
    <w:uiPriority w:val="9"/>
    <w:qFormat/>
    <w:rPr>
      <w:rFonts w:ascii="Arial" w:hAnsi="Arial" w:eastAsia="Arial" w:cs="Arial"/>
      <w:b/>
      <w:bCs/>
      <w:sz w:val="22"/>
      <w:szCs w:val="22"/>
    </w:rPr>
  </w:style>
  <w:style w:type="character" w:styleId="811" w:customStyle="1">
    <w:name w:val="Heading 7 Char"/>
    <w:link w:val="777"/>
    <w:uiPriority w:val="9"/>
    <w:qFormat/>
    <w:rPr>
      <w:rFonts w:ascii="Arial" w:hAnsi="Arial" w:eastAsia="Arial" w:cs="Arial"/>
      <w:b/>
      <w:bCs/>
      <w:i/>
      <w:iCs/>
      <w:sz w:val="22"/>
      <w:szCs w:val="22"/>
    </w:rPr>
  </w:style>
  <w:style w:type="character" w:styleId="812" w:customStyle="1">
    <w:name w:val="Heading 8 Char"/>
    <w:link w:val="778"/>
    <w:uiPriority w:val="9"/>
    <w:qFormat/>
    <w:rPr>
      <w:rFonts w:ascii="Arial" w:hAnsi="Arial" w:eastAsia="Arial" w:cs="Arial"/>
      <w:i/>
      <w:iCs/>
      <w:sz w:val="22"/>
      <w:szCs w:val="22"/>
    </w:rPr>
  </w:style>
  <w:style w:type="character" w:styleId="813" w:customStyle="1">
    <w:name w:val="Heading 9 Char"/>
    <w:link w:val="779"/>
    <w:uiPriority w:val="9"/>
    <w:qFormat/>
    <w:rPr>
      <w:rFonts w:ascii="Arial" w:hAnsi="Arial" w:eastAsia="Arial" w:cs="Arial"/>
      <w:i/>
      <w:iCs/>
      <w:sz w:val="21"/>
      <w:szCs w:val="21"/>
    </w:rPr>
  </w:style>
  <w:style w:type="paragraph" w:styleId="814">
    <w:name w:val="No Spacing"/>
    <w:uiPriority w:val="1"/>
    <w:qFormat/>
    <w:pPr>
      <w:spacing w:before="0" w:after="0" w:line="240" w:lineRule="auto"/>
    </w:pPr>
    <w:rPr>
      <w:rFonts w:hint="default" w:ascii="Times New Roman" w:hAnsi="Times New Roman" w:eastAsia="宋体" w:cs="Times New Roman"/>
    </w:rPr>
  </w:style>
  <w:style w:type="character" w:styleId="815" w:customStyle="1">
    <w:name w:val="Title Char"/>
    <w:link w:val="799"/>
    <w:uiPriority w:val="10"/>
    <w:qFormat/>
    <w:rPr>
      <w:sz w:val="48"/>
      <w:szCs w:val="48"/>
    </w:rPr>
  </w:style>
  <w:style w:type="character" w:styleId="816" w:customStyle="1">
    <w:name w:val="Subtitle Char"/>
    <w:link w:val="793"/>
    <w:uiPriority w:val="11"/>
    <w:qFormat/>
    <w:rPr>
      <w:sz w:val="24"/>
      <w:szCs w:val="24"/>
    </w:rPr>
  </w:style>
  <w:style w:type="paragraph" w:styleId="817">
    <w:name w:val="Quote"/>
    <w:basedOn w:val="770"/>
    <w:next w:val="770"/>
    <w:link w:val="818"/>
    <w:uiPriority w:val="29"/>
    <w:qFormat/>
    <w:pPr>
      <w:ind w:left="720" w:right="720"/>
    </w:pPr>
    <w:rPr>
      <w:i/>
    </w:rPr>
  </w:style>
  <w:style w:type="character" w:styleId="818" w:customStyle="1">
    <w:name w:val="Quote Char"/>
    <w:link w:val="817"/>
    <w:uiPriority w:val="29"/>
    <w:qFormat/>
    <w:rPr>
      <w:i/>
    </w:rPr>
  </w:style>
  <w:style w:type="paragraph" w:styleId="819">
    <w:name w:val="Intense Quote"/>
    <w:basedOn w:val="770"/>
    <w:next w:val="770"/>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Intense Quote Char"/>
    <w:link w:val="819"/>
    <w:uiPriority w:val="30"/>
    <w:qFormat/>
    <w:rPr>
      <w:i/>
    </w:rPr>
  </w:style>
  <w:style w:type="character" w:styleId="821" w:customStyle="1">
    <w:name w:val="Header Char"/>
    <w:link w:val="790"/>
    <w:uiPriority w:val="99"/>
    <w:qFormat/>
  </w:style>
  <w:style w:type="character" w:styleId="822" w:customStyle="1">
    <w:name w:val="Footer Char"/>
    <w:link w:val="789"/>
    <w:uiPriority w:val="99"/>
    <w:qFormat/>
  </w:style>
  <w:style w:type="character" w:styleId="823" w:customStyle="1">
    <w:name w:val="Caption Char"/>
    <w:link w:val="789"/>
    <w:uiPriority w:val="99"/>
    <w:qFormat/>
  </w:style>
  <w:style w:type="table" w:styleId="82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7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1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1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2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9" w:customStyle="1">
    <w:name w:val="Footnote Text Char"/>
    <w:link w:val="794"/>
    <w:uiPriority w:val="99"/>
    <w:qFormat/>
    <w:rPr>
      <w:sz w:val="18"/>
    </w:rPr>
  </w:style>
  <w:style w:type="character" w:styleId="950" w:customStyle="1">
    <w:name w:val="Endnote Text Char"/>
    <w:link w:val="788"/>
    <w:uiPriority w:val="99"/>
    <w:qFormat/>
    <w:rPr>
      <w:sz w:val="20"/>
    </w:rPr>
  </w:style>
  <w:style w:type="paragraph" w:styleId="951" w:customStyle="1">
    <w:name w:val="TOC Heading"/>
    <w:uiPriority w:val="39"/>
    <w:unhideWhenUsed/>
    <w:qFormat/>
    <w:rPr>
      <w:rFonts w:hint="default" w:ascii="Times New Roman" w:hAnsi="Times New Roman" w:eastAsia="宋体" w:cs="Times New Roman"/>
    </w:rPr>
  </w:style>
  <w:style w:type="paragraph" w:styleId="952" w:customStyle="1">
    <w:name w:val="标题 11"/>
    <w:basedOn w:val="770"/>
    <w:next w:val="770"/>
    <w:link w:val="963"/>
    <w:uiPriority w:val="0"/>
    <w:qFormat/>
    <w:pPr>
      <w:jc w:val="center"/>
      <w:keepLines/>
      <w:keepNext/>
      <w:spacing w:before="240" w:after="120" w:line="300" w:lineRule="auto"/>
      <w:outlineLvl w:val="0"/>
    </w:pPr>
    <w:rPr>
      <w:rFonts w:ascii="宋体"/>
      <w:b/>
      <w:sz w:val="32"/>
      <w:szCs w:val="20"/>
    </w:rPr>
  </w:style>
  <w:style w:type="paragraph" w:styleId="953" w:customStyle="1">
    <w:name w:val="标题 21"/>
    <w:basedOn w:val="770"/>
    <w:next w:val="770"/>
    <w:link w:val="964"/>
    <w:uiPriority w:val="0"/>
    <w:qFormat/>
    <w:pPr>
      <w:jc w:val="center"/>
      <w:keepLines/>
      <w:keepNext/>
      <w:spacing w:before="120" w:line="300" w:lineRule="auto"/>
      <w:outlineLvl w:val="1"/>
    </w:pPr>
    <w:rPr>
      <w:rFonts w:ascii="Arial" w:hAnsi="Arial" w:eastAsia="黑体"/>
      <w:b/>
      <w:sz w:val="30"/>
      <w:szCs w:val="20"/>
    </w:rPr>
  </w:style>
  <w:style w:type="paragraph" w:styleId="954" w:customStyle="1">
    <w:name w:val="标题 41"/>
    <w:basedOn w:val="770"/>
    <w:next w:val="770"/>
    <w:link w:val="965"/>
    <w:uiPriority w:val="0"/>
    <w:qFormat/>
    <w:pPr>
      <w:keepLines/>
      <w:keepNext/>
      <w:spacing w:before="280" w:after="290" w:line="376" w:lineRule="atLeast"/>
      <w:outlineLvl w:val="3"/>
    </w:pPr>
    <w:rPr>
      <w:rFonts w:ascii="Arial" w:hAnsi="Arial" w:eastAsia="黑体"/>
      <w:b/>
      <w:sz w:val="28"/>
      <w:szCs w:val="20"/>
    </w:rPr>
  </w:style>
  <w:style w:type="paragraph" w:styleId="955" w:customStyle="1">
    <w:name w:val="标题 51"/>
    <w:basedOn w:val="770"/>
    <w:next w:val="770"/>
    <w:link w:val="966"/>
    <w:uiPriority w:val="0"/>
    <w:qFormat/>
    <w:pPr>
      <w:keepLines/>
      <w:keepNext/>
      <w:spacing w:before="280" w:after="290" w:line="376" w:lineRule="atLeast"/>
      <w:outlineLvl w:val="4"/>
    </w:pPr>
    <w:rPr>
      <w:b/>
      <w:sz w:val="28"/>
      <w:szCs w:val="20"/>
    </w:rPr>
  </w:style>
  <w:style w:type="paragraph" w:styleId="956" w:customStyle="1">
    <w:name w:val="标题 61"/>
    <w:basedOn w:val="770"/>
    <w:next w:val="770"/>
    <w:link w:val="967"/>
    <w:uiPriority w:val="0"/>
    <w:qFormat/>
    <w:pPr>
      <w:keepLines/>
      <w:keepNext/>
      <w:spacing w:before="240" w:after="64" w:line="320" w:lineRule="atLeast"/>
      <w:outlineLvl w:val="5"/>
    </w:pPr>
    <w:rPr>
      <w:rFonts w:ascii="Arial" w:hAnsi="Arial" w:eastAsia="黑体"/>
      <w:b/>
      <w:sz w:val="24"/>
      <w:szCs w:val="20"/>
    </w:rPr>
  </w:style>
  <w:style w:type="paragraph" w:styleId="957" w:customStyle="1">
    <w:name w:val="标题 71"/>
    <w:basedOn w:val="770"/>
    <w:next w:val="770"/>
    <w:link w:val="968"/>
    <w:uiPriority w:val="0"/>
    <w:qFormat/>
    <w:pPr>
      <w:keepLines/>
      <w:keepNext/>
      <w:spacing w:before="240" w:after="64" w:line="320" w:lineRule="atLeast"/>
      <w:outlineLvl w:val="6"/>
    </w:pPr>
    <w:rPr>
      <w:b/>
      <w:sz w:val="24"/>
      <w:szCs w:val="20"/>
    </w:rPr>
  </w:style>
  <w:style w:type="paragraph" w:styleId="958" w:customStyle="1">
    <w:name w:val="标题 81"/>
    <w:basedOn w:val="770"/>
    <w:next w:val="770"/>
    <w:link w:val="969"/>
    <w:uiPriority w:val="0"/>
    <w:qFormat/>
    <w:pPr>
      <w:keepLines/>
      <w:keepNext/>
      <w:spacing w:before="240" w:after="64" w:line="320" w:lineRule="atLeast"/>
      <w:outlineLvl w:val="7"/>
    </w:pPr>
    <w:rPr>
      <w:rFonts w:ascii="Arial" w:hAnsi="Arial" w:eastAsia="黑体"/>
      <w:sz w:val="24"/>
      <w:szCs w:val="20"/>
    </w:rPr>
  </w:style>
  <w:style w:type="paragraph" w:styleId="959" w:customStyle="1">
    <w:name w:val="标题 91"/>
    <w:basedOn w:val="770"/>
    <w:next w:val="770"/>
    <w:link w:val="970"/>
    <w:uiPriority w:val="0"/>
    <w:qFormat/>
    <w:pPr>
      <w:keepLines/>
      <w:keepNext/>
      <w:spacing w:before="240" w:after="64" w:line="320" w:lineRule="atLeast"/>
      <w:outlineLvl w:val="8"/>
    </w:pPr>
    <w:rPr>
      <w:rFonts w:ascii="Arial" w:hAnsi="Arial" w:eastAsia="黑体"/>
      <w:szCs w:val="20"/>
    </w:rPr>
  </w:style>
  <w:style w:type="character" w:styleId="960" w:customStyle="1">
    <w:name w:val="默认段落字体1"/>
    <w:link w:val="770"/>
    <w:uiPriority w:val="1"/>
    <w:unhideWhenUsed/>
    <w:qFormat/>
  </w:style>
  <w:style w:type="table" w:styleId="961" w:customStyle="1">
    <w:name w:val="普通表格1"/>
    <w:uiPriority w:val="99"/>
    <w:unhideWhenUsed/>
    <w:qFormat/>
    <w:tblPr/>
  </w:style>
  <w:style w:type="character" w:styleId="962" w:customStyle="1">
    <w:name w:val="标题 3 Char1"/>
    <w:link w:val="804"/>
    <w:uiPriority w:val="0"/>
    <w:qFormat/>
    <w:rPr>
      <w:rFonts w:ascii="宋体" w:eastAsia="宋体"/>
      <w:b/>
      <w:sz w:val="24"/>
      <w:u w:val="single"/>
      <w:lang w:val="en-US" w:eastAsia="zh-CN" w:bidi="ar-SA"/>
    </w:rPr>
  </w:style>
  <w:style w:type="character" w:styleId="963" w:customStyle="1">
    <w:name w:val="标题 1 Char"/>
    <w:basedOn w:val="960"/>
    <w:link w:val="952"/>
    <w:uiPriority w:val="0"/>
    <w:qFormat/>
    <w:rPr>
      <w:rFonts w:ascii="宋体"/>
      <w:b/>
      <w:sz w:val="32"/>
    </w:rPr>
  </w:style>
  <w:style w:type="character" w:styleId="964" w:customStyle="1">
    <w:name w:val="标题 2 Char1"/>
    <w:link w:val="953"/>
    <w:uiPriority w:val="0"/>
    <w:qFormat/>
    <w:rPr>
      <w:rFonts w:ascii="Arial" w:hAnsi="Arial" w:eastAsia="黑体"/>
      <w:b/>
      <w:sz w:val="30"/>
      <w:lang w:val="en-US" w:eastAsia="zh-CN" w:bidi="ar-SA"/>
    </w:rPr>
  </w:style>
  <w:style w:type="character" w:styleId="965" w:customStyle="1">
    <w:name w:val="标题 4 Char"/>
    <w:basedOn w:val="960"/>
    <w:link w:val="954"/>
    <w:uiPriority w:val="0"/>
    <w:qFormat/>
    <w:rPr>
      <w:rFonts w:ascii="Arial" w:hAnsi="Arial" w:eastAsia="黑体"/>
      <w:b/>
      <w:sz w:val="28"/>
    </w:rPr>
  </w:style>
  <w:style w:type="character" w:styleId="966" w:customStyle="1">
    <w:name w:val="标题 5 Char"/>
    <w:basedOn w:val="960"/>
    <w:link w:val="955"/>
    <w:uiPriority w:val="0"/>
    <w:qFormat/>
    <w:rPr>
      <w:b/>
      <w:sz w:val="28"/>
    </w:rPr>
  </w:style>
  <w:style w:type="character" w:styleId="967" w:customStyle="1">
    <w:name w:val="标题 6 Char"/>
    <w:basedOn w:val="960"/>
    <w:link w:val="956"/>
    <w:uiPriority w:val="0"/>
    <w:qFormat/>
    <w:rPr>
      <w:rFonts w:ascii="Arial" w:hAnsi="Arial" w:eastAsia="黑体"/>
      <w:b/>
      <w:sz w:val="24"/>
    </w:rPr>
  </w:style>
  <w:style w:type="character" w:styleId="968" w:customStyle="1">
    <w:name w:val="标题 7 Char"/>
    <w:basedOn w:val="960"/>
    <w:link w:val="957"/>
    <w:uiPriority w:val="0"/>
    <w:qFormat/>
    <w:rPr>
      <w:b/>
      <w:sz w:val="24"/>
    </w:rPr>
  </w:style>
  <w:style w:type="character" w:styleId="969" w:customStyle="1">
    <w:name w:val="标题 8 Char"/>
    <w:basedOn w:val="960"/>
    <w:link w:val="958"/>
    <w:uiPriority w:val="0"/>
    <w:qFormat/>
    <w:rPr>
      <w:rFonts w:ascii="Arial" w:hAnsi="Arial" w:eastAsia="黑体"/>
      <w:sz w:val="24"/>
    </w:rPr>
  </w:style>
  <w:style w:type="character" w:styleId="970" w:customStyle="1">
    <w:name w:val="标题 9 Char"/>
    <w:basedOn w:val="960"/>
    <w:link w:val="959"/>
    <w:uiPriority w:val="0"/>
    <w:qFormat/>
    <w:rPr>
      <w:rFonts w:ascii="Arial" w:hAnsi="Arial" w:eastAsia="黑体"/>
      <w:sz w:val="21"/>
    </w:rPr>
  </w:style>
  <w:style w:type="paragraph" w:styleId="971" w:customStyle="1">
    <w:name w:val="目录 71"/>
    <w:basedOn w:val="770"/>
    <w:next w:val="770"/>
    <w:uiPriority w:val="0"/>
    <w:qFormat/>
    <w:pPr>
      <w:ind w:left="2520"/>
    </w:pPr>
  </w:style>
  <w:style w:type="paragraph" w:styleId="972" w:customStyle="1">
    <w:name w:val="正文缩进11"/>
    <w:basedOn w:val="770"/>
    <w:next w:val="770"/>
    <w:link w:val="973"/>
    <w:uiPriority w:val="0"/>
    <w:qFormat/>
    <w:pPr>
      <w:ind w:firstLine="420"/>
      <w:jc w:val="left"/>
    </w:pPr>
    <w:rPr>
      <w:rFonts w:ascii="宋体"/>
      <w:sz w:val="24"/>
    </w:rPr>
  </w:style>
  <w:style w:type="character" w:styleId="973" w:customStyle="1">
    <w:name w:val="正文缩进 Char1"/>
    <w:link w:val="972"/>
    <w:uiPriority w:val="0"/>
    <w:qFormat/>
    <w:rPr>
      <w:rFonts w:ascii="宋体" w:eastAsia="宋体"/>
      <w:sz w:val="24"/>
      <w:szCs w:val="24"/>
      <w:lang w:val="en-US" w:eastAsia="zh-CN" w:bidi="ar-SA"/>
    </w:rPr>
  </w:style>
  <w:style w:type="paragraph" w:styleId="974" w:customStyle="1">
    <w:name w:val="题注1"/>
    <w:basedOn w:val="770"/>
    <w:next w:val="770"/>
    <w:uiPriority w:val="0"/>
    <w:qFormat/>
    <w:pPr>
      <w:spacing w:line="480" w:lineRule="auto"/>
    </w:pPr>
    <w:rPr>
      <w:rFonts w:ascii="华文中宋" w:hAnsi="华文中宋" w:eastAsia="华文中宋"/>
      <w:sz w:val="36"/>
      <w:szCs w:val="20"/>
    </w:rPr>
  </w:style>
  <w:style w:type="paragraph" w:styleId="975" w:customStyle="1">
    <w:name w:val="文档结构图1"/>
    <w:basedOn w:val="770"/>
    <w:link w:val="976"/>
    <w:uiPriority w:val="0"/>
    <w:qFormat/>
    <w:pPr>
      <w:shd w:val="clear" w:color="auto" w:fill="000080"/>
    </w:pPr>
  </w:style>
  <w:style w:type="character" w:styleId="976" w:customStyle="1">
    <w:name w:val="文档结构图 Char"/>
    <w:basedOn w:val="960"/>
    <w:link w:val="975"/>
    <w:uiPriority w:val="0"/>
    <w:qFormat/>
    <w:rPr>
      <w:sz w:val="21"/>
      <w:szCs w:val="24"/>
      <w:shd w:val="clear" w:color="auto" w:fill="000080"/>
    </w:rPr>
  </w:style>
  <w:style w:type="paragraph" w:styleId="977" w:customStyle="1">
    <w:name w:val="批注文字1"/>
    <w:basedOn w:val="770"/>
    <w:link w:val="978"/>
    <w:uiPriority w:val="99"/>
    <w:qFormat/>
    <w:pPr>
      <w:jc w:val="left"/>
    </w:pPr>
  </w:style>
  <w:style w:type="character" w:styleId="978" w:customStyle="1">
    <w:name w:val="批注文字 Char1"/>
    <w:link w:val="977"/>
    <w:uiPriority w:val="99"/>
    <w:qFormat/>
    <w:rPr>
      <w:sz w:val="21"/>
      <w:szCs w:val="24"/>
    </w:rPr>
  </w:style>
  <w:style w:type="paragraph" w:styleId="979" w:customStyle="1">
    <w:name w:val="正文文本 31"/>
    <w:basedOn w:val="770"/>
    <w:link w:val="980"/>
    <w:uiPriority w:val="0"/>
    <w:qFormat/>
    <w:pPr>
      <w:spacing w:after="120"/>
    </w:pPr>
    <w:rPr>
      <w:sz w:val="16"/>
      <w:szCs w:val="16"/>
    </w:rPr>
  </w:style>
  <w:style w:type="character" w:styleId="980" w:customStyle="1">
    <w:name w:val="正文文本 3 Char"/>
    <w:basedOn w:val="960"/>
    <w:link w:val="979"/>
    <w:uiPriority w:val="0"/>
    <w:qFormat/>
    <w:rPr>
      <w:sz w:val="16"/>
      <w:szCs w:val="16"/>
    </w:rPr>
  </w:style>
  <w:style w:type="paragraph" w:styleId="981" w:customStyle="1">
    <w:name w:val="正文文本1"/>
    <w:basedOn w:val="770"/>
    <w:next w:val="770"/>
    <w:link w:val="982"/>
    <w:uiPriority w:val="0"/>
    <w:qFormat/>
    <w:pPr>
      <w:spacing w:before="120" w:line="22" w:lineRule="atLeast"/>
      <w:tabs>
        <w:tab w:val="left" w:pos="567" w:leader="none"/>
      </w:tabs>
    </w:pPr>
    <w:rPr>
      <w:rFonts w:ascii="宋体" w:hAnsi="宋体"/>
      <w:sz w:val="24"/>
    </w:rPr>
  </w:style>
  <w:style w:type="character" w:styleId="982" w:customStyle="1">
    <w:name w:val="正文文本 Char"/>
    <w:basedOn w:val="960"/>
    <w:link w:val="981"/>
    <w:uiPriority w:val="0"/>
    <w:qFormat/>
    <w:rPr>
      <w:rFonts w:ascii="宋体" w:hAnsi="宋体"/>
      <w:sz w:val="24"/>
      <w:szCs w:val="24"/>
    </w:rPr>
  </w:style>
  <w:style w:type="paragraph" w:styleId="983" w:customStyle="1">
    <w:name w:val="正文文本缩进11"/>
    <w:basedOn w:val="770"/>
    <w:next w:val="770"/>
    <w:link w:val="984"/>
    <w:uiPriority w:val="0"/>
    <w:qFormat/>
    <w:pPr>
      <w:ind w:firstLine="570"/>
      <w:spacing w:line="360" w:lineRule="auto"/>
    </w:pPr>
    <w:rPr>
      <w:sz w:val="24"/>
    </w:rPr>
  </w:style>
  <w:style w:type="character" w:styleId="984" w:customStyle="1">
    <w:name w:val="正文文本缩进 Char2"/>
    <w:link w:val="983"/>
    <w:uiPriority w:val="0"/>
    <w:qFormat/>
    <w:rPr>
      <w:rFonts w:eastAsia="宋体"/>
      <w:sz w:val="24"/>
      <w:szCs w:val="24"/>
      <w:lang w:val="en-US" w:eastAsia="zh-CN" w:bidi="ar-SA"/>
    </w:rPr>
  </w:style>
  <w:style w:type="paragraph" w:styleId="985" w:customStyle="1">
    <w:name w:val="列表 21"/>
    <w:basedOn w:val="770"/>
    <w:uiPriority w:val="0"/>
    <w:qFormat/>
    <w:pPr>
      <w:ind w:left="100" w:hanging="200"/>
    </w:pPr>
  </w:style>
  <w:style w:type="paragraph" w:styleId="986" w:customStyle="1">
    <w:name w:val="文本块1"/>
    <w:basedOn w:val="770"/>
    <w:uiPriority w:val="0"/>
    <w:qFormat/>
    <w:pPr>
      <w:ind w:left="480" w:right="-341" w:firstLine="513"/>
      <w:widowControl/>
    </w:pPr>
    <w:rPr>
      <w:sz w:val="24"/>
      <w:szCs w:val="20"/>
    </w:rPr>
  </w:style>
  <w:style w:type="paragraph" w:styleId="987" w:customStyle="1">
    <w:name w:val="索引 41"/>
    <w:basedOn w:val="770"/>
    <w:next w:val="770"/>
    <w:uiPriority w:val="0"/>
    <w:semiHidden/>
    <w:qFormat/>
    <w:pPr>
      <w:ind w:left="1260"/>
    </w:pPr>
    <w:rPr>
      <w:rFonts w:ascii="Times New Roman" w:hAnsi="Times New Roman" w:eastAsia="Calibri" w:cs="宋体"/>
      <w:sz w:val="20"/>
      <w:szCs w:val="20"/>
      <w:lang w:val="zh-CN"/>
    </w:rPr>
  </w:style>
  <w:style w:type="paragraph" w:styleId="988" w:customStyle="1">
    <w:name w:val="目录 51"/>
    <w:basedOn w:val="770"/>
    <w:next w:val="770"/>
    <w:uiPriority w:val="0"/>
    <w:qFormat/>
    <w:pPr>
      <w:ind w:left="1680"/>
    </w:pPr>
  </w:style>
  <w:style w:type="paragraph" w:styleId="989" w:customStyle="1">
    <w:name w:val="目录 31"/>
    <w:basedOn w:val="770"/>
    <w:next w:val="770"/>
    <w:uiPriority w:val="39"/>
    <w:qFormat/>
    <w:pPr>
      <w:ind w:left="840"/>
    </w:pPr>
  </w:style>
  <w:style w:type="paragraph" w:styleId="990" w:customStyle="1">
    <w:name w:val="纯文本1"/>
    <w:basedOn w:val="770"/>
    <w:next w:val="972"/>
    <w:link w:val="991"/>
    <w:uiPriority w:val="0"/>
    <w:qFormat/>
    <w:rPr>
      <w:rFonts w:hint="eastAsia" w:ascii="宋体" w:hAnsi="Courier New"/>
      <w:szCs w:val="20"/>
    </w:rPr>
  </w:style>
  <w:style w:type="character" w:styleId="991" w:customStyle="1">
    <w:name w:val="纯文本 Char"/>
    <w:basedOn w:val="960"/>
    <w:link w:val="990"/>
    <w:uiPriority w:val="0"/>
    <w:qFormat/>
    <w:rPr>
      <w:rFonts w:hint="eastAsia" w:ascii="宋体" w:hAnsi="Courier New" w:eastAsia="宋体" w:cs="宋体"/>
      <w:sz w:val="21"/>
    </w:rPr>
  </w:style>
  <w:style w:type="paragraph" w:styleId="992" w:customStyle="1">
    <w:name w:val="目录 81"/>
    <w:basedOn w:val="770"/>
    <w:next w:val="770"/>
    <w:uiPriority w:val="0"/>
    <w:qFormat/>
    <w:pPr>
      <w:ind w:left="2940"/>
    </w:pPr>
  </w:style>
  <w:style w:type="paragraph" w:styleId="993" w:customStyle="1">
    <w:name w:val="日期1"/>
    <w:basedOn w:val="770"/>
    <w:next w:val="770"/>
    <w:link w:val="994"/>
    <w:uiPriority w:val="0"/>
    <w:qFormat/>
    <w:pPr>
      <w:ind w:left="100"/>
    </w:pPr>
    <w:rPr>
      <w:rFonts w:ascii="仿宋_GB2312" w:hAnsi="宋体" w:eastAsia="仿宋_GB2312"/>
      <w:color w:val="000000"/>
      <w:sz w:val="24"/>
    </w:rPr>
  </w:style>
  <w:style w:type="character" w:styleId="994" w:customStyle="1">
    <w:name w:val="日期 Char"/>
    <w:basedOn w:val="960"/>
    <w:link w:val="993"/>
    <w:uiPriority w:val="0"/>
    <w:qFormat/>
    <w:rPr>
      <w:rFonts w:ascii="仿宋_GB2312" w:hAnsi="宋体" w:eastAsia="仿宋_GB2312"/>
      <w:color w:val="000000"/>
      <w:sz w:val="24"/>
      <w:szCs w:val="24"/>
    </w:rPr>
  </w:style>
  <w:style w:type="paragraph" w:styleId="995" w:customStyle="1">
    <w:name w:val="正文文本缩进 21"/>
    <w:basedOn w:val="770"/>
    <w:link w:val="996"/>
    <w:uiPriority w:val="0"/>
    <w:qFormat/>
    <w:pPr>
      <w:ind w:firstLine="480"/>
    </w:pPr>
    <w:rPr>
      <w:rFonts w:ascii="仿宋_GB2312" w:eastAsia="仿宋_GB2312"/>
      <w:sz w:val="24"/>
    </w:rPr>
  </w:style>
  <w:style w:type="character" w:styleId="996" w:customStyle="1">
    <w:name w:val="正文文本缩进 2 Char"/>
    <w:basedOn w:val="960"/>
    <w:link w:val="995"/>
    <w:uiPriority w:val="0"/>
    <w:qFormat/>
    <w:rPr>
      <w:rFonts w:ascii="仿宋_GB2312" w:eastAsia="仿宋_GB2312"/>
      <w:sz w:val="24"/>
      <w:szCs w:val="24"/>
    </w:rPr>
  </w:style>
  <w:style w:type="paragraph" w:styleId="997" w:customStyle="1">
    <w:name w:val="批注框文本1"/>
    <w:basedOn w:val="770"/>
    <w:link w:val="998"/>
    <w:uiPriority w:val="0"/>
    <w:qFormat/>
    <w:rPr>
      <w:sz w:val="18"/>
      <w:szCs w:val="18"/>
    </w:rPr>
  </w:style>
  <w:style w:type="character" w:styleId="998" w:customStyle="1">
    <w:name w:val="批注框文本 Char"/>
    <w:basedOn w:val="960"/>
    <w:link w:val="997"/>
    <w:uiPriority w:val="0"/>
    <w:qFormat/>
    <w:rPr>
      <w:sz w:val="18"/>
      <w:szCs w:val="18"/>
    </w:rPr>
  </w:style>
  <w:style w:type="paragraph" w:styleId="999" w:customStyle="1">
    <w:name w:val="页脚1"/>
    <w:basedOn w:val="770"/>
    <w:link w:val="1000"/>
    <w:uiPriority w:val="99"/>
    <w:qFormat/>
    <w:pPr>
      <w:jc w:val="left"/>
      <w:tabs>
        <w:tab w:val="center" w:pos="4153" w:leader="none"/>
        <w:tab w:val="right" w:pos="8306" w:leader="none"/>
      </w:tabs>
    </w:pPr>
    <w:rPr>
      <w:rFonts w:ascii="宋体"/>
      <w:sz w:val="18"/>
      <w:szCs w:val="20"/>
    </w:rPr>
  </w:style>
  <w:style w:type="character" w:styleId="1000" w:customStyle="1">
    <w:name w:val="页脚 Char1"/>
    <w:link w:val="999"/>
    <w:uiPriority w:val="99"/>
    <w:qFormat/>
    <w:rPr>
      <w:rFonts w:ascii="宋体" w:eastAsia="宋体"/>
      <w:sz w:val="18"/>
      <w:lang w:val="en-US" w:eastAsia="zh-CN" w:bidi="ar-SA"/>
    </w:rPr>
  </w:style>
  <w:style w:type="paragraph" w:styleId="1001" w:customStyle="1">
    <w:name w:val="页眉1"/>
    <w:basedOn w:val="770"/>
    <w:link w:val="1002"/>
    <w:uiPriority w:val="0"/>
    <w:qFormat/>
    <w:pPr>
      <w:jc w:val="center"/>
      <w:tabs>
        <w:tab w:val="center" w:pos="4153" w:leader="none"/>
        <w:tab w:val="right" w:pos="8306" w:leader="none"/>
      </w:tabs>
      <w:pBdr>
        <w:bottom w:val="single" w:color="000000" w:sz="6" w:space="1"/>
      </w:pBdr>
    </w:pPr>
    <w:rPr>
      <w:sz w:val="18"/>
      <w:szCs w:val="18"/>
    </w:rPr>
  </w:style>
  <w:style w:type="character" w:styleId="1002" w:customStyle="1">
    <w:name w:val="页眉 Char1"/>
    <w:link w:val="1001"/>
    <w:uiPriority w:val="0"/>
    <w:qFormat/>
    <w:rPr>
      <w:rFonts w:eastAsia="宋体"/>
      <w:sz w:val="18"/>
      <w:szCs w:val="18"/>
      <w:lang w:val="en-US" w:eastAsia="zh-CN" w:bidi="ar-SA"/>
    </w:rPr>
  </w:style>
  <w:style w:type="paragraph" w:styleId="1003" w:customStyle="1">
    <w:name w:val="目录 11"/>
    <w:basedOn w:val="770"/>
    <w:next w:val="770"/>
    <w:uiPriority w:val="39"/>
    <w:qFormat/>
    <w:pPr>
      <w:spacing w:line="300" w:lineRule="auto"/>
      <w:tabs>
        <w:tab w:val="left" w:pos="1050" w:leader="none"/>
        <w:tab w:val="right" w:pos="8937" w:leader="dot"/>
      </w:tabs>
    </w:pPr>
    <w:rPr>
      <w:rFonts w:ascii="宋体" w:hAnsi="宋体"/>
      <w:b/>
      <w:sz w:val="24"/>
    </w:rPr>
  </w:style>
  <w:style w:type="paragraph" w:styleId="1004" w:customStyle="1">
    <w:name w:val="目录 41"/>
    <w:basedOn w:val="770"/>
    <w:next w:val="770"/>
    <w:uiPriority w:val="0"/>
    <w:qFormat/>
    <w:pPr>
      <w:ind w:left="1260"/>
    </w:pPr>
  </w:style>
  <w:style w:type="paragraph" w:styleId="1005" w:customStyle="1">
    <w:name w:val="目录 61"/>
    <w:basedOn w:val="770"/>
    <w:next w:val="770"/>
    <w:uiPriority w:val="0"/>
    <w:qFormat/>
    <w:pPr>
      <w:ind w:left="2100"/>
    </w:pPr>
  </w:style>
  <w:style w:type="paragraph" w:styleId="1006" w:customStyle="1">
    <w:name w:val="正文文本缩进 31"/>
    <w:basedOn w:val="770"/>
    <w:link w:val="1007"/>
    <w:uiPriority w:val="0"/>
    <w:qFormat/>
    <w:pPr>
      <w:ind w:left="720" w:firstLine="480"/>
      <w:jc w:val="left"/>
      <w:spacing w:before="120" w:line="22" w:lineRule="atLeast"/>
    </w:pPr>
    <w:rPr>
      <w:rFonts w:ascii="宋体"/>
      <w:sz w:val="24"/>
      <w:szCs w:val="20"/>
    </w:rPr>
  </w:style>
  <w:style w:type="character" w:styleId="1007" w:customStyle="1">
    <w:name w:val="正文文本缩进 3 Char"/>
    <w:basedOn w:val="960"/>
    <w:link w:val="1006"/>
    <w:uiPriority w:val="0"/>
    <w:qFormat/>
    <w:rPr>
      <w:rFonts w:ascii="宋体"/>
      <w:sz w:val="24"/>
    </w:rPr>
  </w:style>
  <w:style w:type="paragraph" w:styleId="1008" w:customStyle="1">
    <w:name w:val="目录 21"/>
    <w:basedOn w:val="770"/>
    <w:next w:val="770"/>
    <w:uiPriority w:val="39"/>
    <w:qFormat/>
    <w:pPr>
      <w:ind w:left="420"/>
      <w:spacing w:line="312" w:lineRule="auto"/>
      <w:tabs>
        <w:tab w:val="right" w:pos="8937" w:leader="dot"/>
      </w:tabs>
    </w:pPr>
  </w:style>
  <w:style w:type="paragraph" w:styleId="1009" w:customStyle="1">
    <w:name w:val="目录 91"/>
    <w:basedOn w:val="770"/>
    <w:next w:val="770"/>
    <w:uiPriority w:val="0"/>
    <w:qFormat/>
    <w:pPr>
      <w:ind w:left="3360"/>
    </w:pPr>
  </w:style>
  <w:style w:type="paragraph" w:styleId="1010" w:customStyle="1">
    <w:name w:val="HTML 预设格式1"/>
    <w:basedOn w:val="770"/>
    <w:link w:val="10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11" w:customStyle="1">
    <w:name w:val="HTML 预设格式 Char"/>
    <w:basedOn w:val="960"/>
    <w:link w:val="1010"/>
    <w:uiPriority w:val="0"/>
    <w:qFormat/>
    <w:rPr>
      <w:rFonts w:ascii="宋体" w:hAnsi="宋体" w:cs="宋体"/>
      <w:sz w:val="24"/>
      <w:szCs w:val="24"/>
    </w:rPr>
  </w:style>
  <w:style w:type="paragraph" w:styleId="1012" w:customStyle="1">
    <w:name w:val="普通(网站)1"/>
    <w:basedOn w:val="770"/>
    <w:uiPriority w:val="99"/>
    <w:unhideWhenUsed/>
    <w:qFormat/>
    <w:pPr>
      <w:jc w:val="left"/>
      <w:spacing w:before="100" w:beforeAutospacing="1" w:after="100" w:afterAutospacing="1"/>
      <w:widowControl/>
    </w:pPr>
    <w:rPr>
      <w:rFonts w:ascii="宋体" w:hAnsi="宋体" w:cs="宋体"/>
      <w:sz w:val="24"/>
    </w:rPr>
  </w:style>
  <w:style w:type="paragraph" w:styleId="1013" w:customStyle="1">
    <w:name w:val="索引 11"/>
    <w:basedOn w:val="770"/>
    <w:next w:val="770"/>
    <w:uiPriority w:val="0"/>
    <w:qFormat/>
    <w:rPr>
      <w:szCs w:val="20"/>
    </w:rPr>
  </w:style>
  <w:style w:type="paragraph" w:styleId="1014" w:customStyle="1">
    <w:name w:val="标题1"/>
    <w:basedOn w:val="770"/>
    <w:link w:val="1015"/>
    <w:uiPriority w:val="0"/>
    <w:qFormat/>
    <w:pPr>
      <w:jc w:val="center"/>
      <w:outlineLvl w:val="0"/>
    </w:pPr>
    <w:rPr>
      <w:b/>
      <w:sz w:val="32"/>
      <w:szCs w:val="20"/>
    </w:rPr>
  </w:style>
  <w:style w:type="character" w:styleId="1015" w:customStyle="1">
    <w:name w:val="标题 Char1"/>
    <w:link w:val="1014"/>
    <w:uiPriority w:val="0"/>
    <w:qFormat/>
    <w:rPr>
      <w:b/>
      <w:sz w:val="32"/>
    </w:rPr>
  </w:style>
  <w:style w:type="paragraph" w:styleId="1016" w:customStyle="1">
    <w:name w:val="批注主题1"/>
    <w:basedOn w:val="977"/>
    <w:next w:val="977"/>
    <w:link w:val="1017"/>
    <w:uiPriority w:val="0"/>
    <w:qFormat/>
    <w:rPr>
      <w:b/>
      <w:bCs/>
    </w:rPr>
  </w:style>
  <w:style w:type="character" w:styleId="1017" w:customStyle="1">
    <w:name w:val="批注主题 Char"/>
    <w:basedOn w:val="1018"/>
    <w:link w:val="1016"/>
    <w:uiPriority w:val="0"/>
    <w:qFormat/>
    <w:rPr>
      <w:rFonts w:ascii="Times New Roman" w:hAnsi="Times New Roman" w:eastAsia="宋体" w:cs="Times New Roman"/>
      <w:b/>
      <w:bCs/>
      <w:sz w:val="21"/>
      <w:szCs w:val="24"/>
      <w:lang w:val="en-US" w:eastAsia="zh-CN" w:bidi="ar-SA"/>
    </w:rPr>
  </w:style>
  <w:style w:type="character" w:styleId="1018" w:customStyle="1">
    <w:name w:val="批注文字 字符"/>
    <w:link w:val="770"/>
    <w:uiPriority w:val="99"/>
    <w:qFormat/>
    <w:rPr>
      <w:rFonts w:ascii="Times New Roman" w:hAnsi="Times New Roman" w:eastAsia="宋体" w:cs="Times New Roman"/>
      <w:sz w:val="24"/>
      <w:lang w:val="en-US" w:eastAsia="zh-CN" w:bidi="ar-SA"/>
    </w:rPr>
  </w:style>
  <w:style w:type="paragraph" w:styleId="1019" w:customStyle="1">
    <w:name w:val="正文首行缩进1"/>
    <w:basedOn w:val="981"/>
    <w:uiPriority w:val="99"/>
    <w:qFormat/>
    <w:pPr>
      <w:ind w:firstLine="420"/>
    </w:pPr>
    <w:rPr>
      <w:rFonts w:hAnsi="Calibri"/>
    </w:rPr>
  </w:style>
  <w:style w:type="paragraph" w:styleId="1020" w:customStyle="1">
    <w:name w:val="正文首行缩进 21"/>
    <w:basedOn w:val="983"/>
    <w:next w:val="770"/>
    <w:link w:val="1021"/>
    <w:uiPriority w:val="0"/>
    <w:qFormat/>
    <w:pPr>
      <w:ind w:left="420" w:firstLine="420"/>
      <w:spacing w:after="120" w:line="480" w:lineRule="exact"/>
    </w:pPr>
    <w:rPr>
      <w:szCs w:val="20"/>
    </w:rPr>
  </w:style>
  <w:style w:type="character" w:styleId="1021" w:customStyle="1">
    <w:name w:val="正文首行缩进 2 Char"/>
    <w:basedOn w:val="984"/>
    <w:link w:val="1020"/>
    <w:uiPriority w:val="0"/>
    <w:qFormat/>
    <w:rPr>
      <w:rFonts w:eastAsia="宋体"/>
      <w:sz w:val="24"/>
      <w:szCs w:val="24"/>
      <w:lang w:val="en-US" w:eastAsia="zh-CN" w:bidi="ar-SA"/>
    </w:rPr>
  </w:style>
  <w:style w:type="table" w:styleId="1022" w:customStyle="1">
    <w:name w:val="网格型1"/>
    <w:basedOn w:val="961"/>
    <w:uiPriority w:val="39"/>
    <w:qFormat/>
    <w:tblPr/>
  </w:style>
  <w:style w:type="table" w:styleId="1023" w:customStyle="1">
    <w:name w:val="中等深浅网格 1 - 强调文字颜色 21"/>
    <w:basedOn w:val="961"/>
    <w:uiPriority w:val="0"/>
    <w:qFormat/>
    <w:rPr>
      <w:sz w:val="21"/>
      <w:szCs w:val="24"/>
    </w:rPr>
    <w:tblPr/>
  </w:style>
  <w:style w:type="character" w:styleId="1024" w:customStyle="1">
    <w:name w:val="要点1"/>
    <w:link w:val="770"/>
    <w:uiPriority w:val="0"/>
    <w:qFormat/>
    <w:rPr>
      <w:b/>
      <w:bCs/>
    </w:rPr>
  </w:style>
  <w:style w:type="character" w:styleId="1025" w:customStyle="1">
    <w:name w:val="页码1"/>
    <w:basedOn w:val="960"/>
    <w:link w:val="770"/>
    <w:uiPriority w:val="0"/>
    <w:qFormat/>
  </w:style>
  <w:style w:type="character" w:styleId="1026" w:customStyle="1">
    <w:name w:val="已访问的超链接1"/>
    <w:link w:val="770"/>
    <w:uiPriority w:val="0"/>
    <w:qFormat/>
    <w:rPr>
      <w:color w:val="800080"/>
      <w:u w:val="single"/>
    </w:rPr>
  </w:style>
  <w:style w:type="character" w:styleId="1027" w:customStyle="1">
    <w:name w:val="强调1"/>
    <w:link w:val="770"/>
    <w:uiPriority w:val="0"/>
    <w:qFormat/>
    <w:rPr>
      <w:color w:val="cc0033"/>
    </w:rPr>
  </w:style>
  <w:style w:type="character" w:styleId="1028" w:customStyle="1">
    <w:name w:val="超链接1"/>
    <w:link w:val="770"/>
    <w:uiPriority w:val="99"/>
    <w:qFormat/>
    <w:rPr>
      <w:color w:val="0000ff"/>
      <w:u w:val="single"/>
    </w:rPr>
  </w:style>
  <w:style w:type="character" w:styleId="1029" w:customStyle="1">
    <w:name w:val="批注引用1"/>
    <w:link w:val="770"/>
    <w:uiPriority w:val="99"/>
    <w:qFormat/>
    <w:rPr>
      <w:sz w:val="21"/>
      <w:szCs w:val="21"/>
    </w:rPr>
  </w:style>
  <w:style w:type="character" w:styleId="1030" w:customStyle="1">
    <w:name w:val="HTML 引文1"/>
    <w:link w:val="770"/>
    <w:uiPriority w:val="0"/>
    <w:qFormat/>
    <w:rPr>
      <w:i/>
      <w:iCs/>
    </w:rPr>
  </w:style>
  <w:style w:type="character" w:styleId="1031" w:customStyle="1">
    <w:name w:val="c21"/>
    <w:link w:val="770"/>
    <w:uiPriority w:val="0"/>
    <w:qFormat/>
    <w:rPr>
      <w:rFonts w:ascii="ˎ̥" w:hAnsi="ˎ̥"/>
      <w:color w:val="000000"/>
      <w:sz w:val="20"/>
      <w:szCs w:val="20"/>
      <w:u w:val="none"/>
    </w:rPr>
  </w:style>
  <w:style w:type="character" w:styleId="1032" w:customStyle="1">
    <w:name w:val="title4"/>
    <w:link w:val="770"/>
    <w:uiPriority w:val="0"/>
    <w:qFormat/>
    <w:rPr>
      <w:b/>
      <w:bCs/>
      <w:color w:val="1d87b3"/>
      <w:sz w:val="15"/>
      <w:szCs w:val="15"/>
    </w:rPr>
  </w:style>
  <w:style w:type="character" w:styleId="1033" w:customStyle="1">
    <w:name w:val="标题 2 Char Char"/>
    <w:link w:val="770"/>
    <w:uiPriority w:val="0"/>
    <w:qFormat/>
    <w:rPr>
      <w:rFonts w:ascii="Arial" w:hAnsi="Arial" w:eastAsia="黑体"/>
      <w:b/>
      <w:bCs/>
      <w:sz w:val="32"/>
      <w:szCs w:val="32"/>
      <w:lang w:val="en-US" w:eastAsia="zh-CN" w:bidi="ar-SA"/>
    </w:rPr>
  </w:style>
  <w:style w:type="character" w:styleId="1034" w:customStyle="1">
    <w:name w:val="black1"/>
    <w:link w:val="770"/>
    <w:uiPriority w:val="0"/>
    <w:qFormat/>
    <w:rPr>
      <w:color w:val="000000"/>
    </w:rPr>
  </w:style>
  <w:style w:type="character" w:styleId="1035" w:customStyle="1">
    <w:name w:val="street-address"/>
    <w:basedOn w:val="960"/>
    <w:link w:val="770"/>
    <w:uiPriority w:val="0"/>
    <w:qFormat/>
  </w:style>
  <w:style w:type="character" w:styleId="1036" w:customStyle="1">
    <w:name w:val="locality"/>
    <w:basedOn w:val="960"/>
    <w:link w:val="770"/>
    <w:uiPriority w:val="0"/>
    <w:qFormat/>
  </w:style>
  <w:style w:type="character" w:styleId="1037" w:customStyle="1">
    <w:name w:val="正文文本缩进 Char1"/>
    <w:link w:val="1038"/>
    <w:uiPriority w:val="0"/>
    <w:qFormat/>
    <w:rPr>
      <w:rFonts w:ascii="宋体" w:hAnsi="宋体" w:eastAsia="宋体"/>
      <w:sz w:val="24"/>
      <w:szCs w:val="24"/>
      <w:lang w:bidi="ar-SA"/>
    </w:rPr>
  </w:style>
  <w:style w:type="paragraph" w:styleId="1038" w:customStyle="1">
    <w:name w:val="正文文本缩进1"/>
    <w:basedOn w:val="770"/>
    <w:link w:val="1037"/>
    <w:uiPriority w:val="0"/>
    <w:qFormat/>
    <w:pPr>
      <w:ind w:firstLine="480"/>
      <w:spacing w:line="480" w:lineRule="exact"/>
    </w:pPr>
    <w:rPr>
      <w:rFonts w:ascii="宋体" w:hAnsi="宋体"/>
      <w:sz w:val="24"/>
    </w:rPr>
  </w:style>
  <w:style w:type="character" w:styleId="1039" w:customStyle="1">
    <w:name w:val="Char Char11"/>
    <w:link w:val="770"/>
    <w:uiPriority w:val="0"/>
    <w:qFormat/>
    <w:rPr>
      <w:rFonts w:ascii="宋体" w:eastAsia="宋体"/>
      <w:b/>
      <w:sz w:val="24"/>
      <w:u w:val="single"/>
      <w:lang w:val="en-US" w:eastAsia="zh-CN" w:bidi="ar-SA"/>
    </w:rPr>
  </w:style>
  <w:style w:type="character" w:styleId="1040" w:customStyle="1">
    <w:name w:val="txt"/>
    <w:basedOn w:val="960"/>
    <w:link w:val="770"/>
    <w:uiPriority w:val="0"/>
    <w:qFormat/>
  </w:style>
  <w:style w:type="character" w:styleId="1041" w:customStyle="1">
    <w:name w:val="正文缩进 Char Char"/>
    <w:link w:val="1042"/>
    <w:uiPriority w:val="0"/>
    <w:qFormat/>
    <w:rPr>
      <w:rFonts w:ascii="宋体" w:eastAsia="宋体"/>
      <w:color w:val="000000"/>
      <w:sz w:val="28"/>
      <w:lang w:bidi="ar-SA"/>
    </w:rPr>
  </w:style>
  <w:style w:type="paragraph" w:styleId="1042" w:customStyle="1">
    <w:name w:val="正文缩进1"/>
    <w:basedOn w:val="770"/>
    <w:link w:val="1041"/>
    <w:uiPriority w:val="0"/>
    <w:qFormat/>
    <w:pPr>
      <w:ind w:firstLine="567"/>
      <w:spacing w:line="480" w:lineRule="exact"/>
      <w:widowControl/>
    </w:pPr>
    <w:rPr>
      <w:rFonts w:ascii="宋体"/>
      <w:color w:val="000000"/>
      <w:sz w:val="28"/>
      <w:szCs w:val="20"/>
    </w:rPr>
  </w:style>
  <w:style w:type="character" w:styleId="1043" w:customStyle="1">
    <w:name w:val="普通文字1 Char1"/>
    <w:link w:val="770"/>
    <w:uiPriority w:val="0"/>
    <w:qFormat/>
    <w:rPr>
      <w:rFonts w:ascii="宋体" w:hAnsi="Courier New" w:eastAsia="宋体"/>
      <w:sz w:val="21"/>
      <w:lang w:val="en-US" w:eastAsia="zh-CN" w:bidi="ar-SA"/>
    </w:rPr>
  </w:style>
  <w:style w:type="character" w:styleId="1044" w:customStyle="1">
    <w:name w:val="chanpin1"/>
    <w:link w:val="770"/>
    <w:uiPriority w:val="0"/>
    <w:qFormat/>
    <w:rPr>
      <w:rFonts w:ascii="ˎ̥" w:hAnsi="ˎ̥"/>
      <w:color w:val="000000"/>
      <w:sz w:val="20"/>
      <w:szCs w:val="20"/>
      <w:u w:val="none"/>
    </w:rPr>
  </w:style>
  <w:style w:type="character" w:styleId="1045" w:customStyle="1">
    <w:name w:val="列出段落 Char1"/>
    <w:link w:val="1046"/>
    <w:uiPriority w:val="34"/>
    <w:qFormat/>
    <w:rPr>
      <w:rFonts w:ascii="Calibri" w:hAnsi="Calibri" w:eastAsia="宋体"/>
      <w:sz w:val="21"/>
      <w:szCs w:val="22"/>
      <w:lang w:val="en-US" w:eastAsia="zh-CN" w:bidi="ar-SA"/>
    </w:rPr>
  </w:style>
  <w:style w:type="paragraph" w:styleId="1046" w:customStyle="1">
    <w:name w:val="列出段落"/>
    <w:basedOn w:val="770"/>
    <w:link w:val="1045"/>
    <w:uiPriority w:val="34"/>
    <w:qFormat/>
    <w:pPr>
      <w:ind w:firstLine="420"/>
    </w:pPr>
    <w:rPr>
      <w:rFonts w:ascii="Calibri" w:hAnsi="Calibri"/>
      <w:szCs w:val="22"/>
    </w:rPr>
  </w:style>
  <w:style w:type="character" w:styleId="1047" w:customStyle="1">
    <w:name w:val="标题 3 Char Char"/>
    <w:link w:val="770"/>
    <w:uiPriority w:val="0"/>
    <w:qFormat/>
    <w:rPr>
      <w:rFonts w:eastAsia="宋体"/>
      <w:b/>
      <w:bCs/>
      <w:sz w:val="32"/>
      <w:szCs w:val="32"/>
      <w:lang w:val="en-US" w:eastAsia="zh-CN" w:bidi="ar-SA"/>
    </w:rPr>
  </w:style>
  <w:style w:type="character" w:styleId="1048" w:customStyle="1">
    <w:name w:val="段1 Char"/>
    <w:link w:val="770"/>
    <w:uiPriority w:val="0"/>
    <w:qFormat/>
    <w:rPr>
      <w:rFonts w:ascii="宋体" w:eastAsia="宋体"/>
      <w:sz w:val="24"/>
      <w:lang w:val="en-US" w:eastAsia="zh-CN" w:bidi="ar-SA"/>
    </w:rPr>
  </w:style>
  <w:style w:type="character" w:styleId="1049" w:customStyle="1">
    <w:name w:val="chanpin拷贝"/>
    <w:basedOn w:val="960"/>
    <w:link w:val="770"/>
    <w:uiPriority w:val="0"/>
    <w:qFormat/>
  </w:style>
  <w:style w:type="character" w:styleId="1050" w:customStyle="1">
    <w:name w:val="纯文本 Char1"/>
    <w:link w:val="770"/>
    <w:uiPriority w:val="0"/>
    <w:qFormat/>
    <w:rPr>
      <w:rFonts w:ascii="宋体" w:hAnsi="Courier New" w:eastAsia="宋体"/>
      <w:sz w:val="21"/>
      <w:lang w:val="en-US" w:eastAsia="zh-CN" w:bidi="ar-SA"/>
    </w:rPr>
  </w:style>
  <w:style w:type="character" w:styleId="1051" w:customStyle="1">
    <w:name w:val="apple-style-span"/>
    <w:link w:val="770"/>
    <w:uiPriority w:val="0"/>
    <w:qFormat/>
    <w:rPr>
      <w:rFonts w:cs="Times New Roman"/>
    </w:rPr>
  </w:style>
  <w:style w:type="paragraph" w:styleId="1052" w:customStyle="1">
    <w:name w:val="二级条标题"/>
    <w:basedOn w:val="1053"/>
    <w:next w:val="77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53" w:customStyle="1">
    <w:name w:val="一级条标题"/>
    <w:basedOn w:val="1054"/>
    <w:next w:val="770"/>
    <w:uiPriority w:val="0"/>
    <w:qFormat/>
    <w:pPr>
      <w:numPr>
        <w:ilvl w:val="1"/>
      </w:numPr>
      <w:ind w:left="0" w:hanging="840"/>
      <w:tabs>
        <w:tab w:val="left" w:pos="360" w:leader="none"/>
        <w:tab w:val="left" w:pos="840" w:leader="none"/>
      </w:tabs>
      <w:outlineLvl w:val="1"/>
    </w:pPr>
  </w:style>
  <w:style w:type="paragraph" w:styleId="1054" w:customStyle="1">
    <w:name w:val="章标题"/>
    <w:next w:val="770"/>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55" w:customStyle="1">
    <w:name w:val="font7"/>
    <w:basedOn w:val="770"/>
    <w:uiPriority w:val="0"/>
    <w:qFormat/>
    <w:pPr>
      <w:jc w:val="left"/>
      <w:spacing w:before="100" w:beforeAutospacing="1" w:after="100" w:afterAutospacing="1"/>
      <w:widowControl/>
    </w:pPr>
    <w:rPr>
      <w:rFonts w:eastAsia="Arial Unicode MS"/>
      <w:b/>
      <w:bCs/>
      <w:color w:val="000000"/>
      <w:sz w:val="20"/>
      <w:szCs w:val="20"/>
    </w:rPr>
  </w:style>
  <w:style w:type="paragraph" w:styleId="1056" w:customStyle="1">
    <w:name w:val="字元 字元"/>
    <w:basedOn w:val="770"/>
    <w:uiPriority w:val="0"/>
    <w:qFormat/>
    <w:rPr>
      <w:rFonts w:ascii="Tahoma" w:hAnsi="Tahoma"/>
      <w:sz w:val="24"/>
      <w:szCs w:val="20"/>
    </w:rPr>
  </w:style>
  <w:style w:type="paragraph" w:styleId="1057" w:customStyle="1">
    <w:name w:val="Char3 Char Char Char"/>
    <w:basedOn w:val="770"/>
    <w:uiPriority w:val="0"/>
    <w:qFormat/>
    <w:rPr>
      <w:rFonts w:ascii="Tahoma" w:hAnsi="Tahoma"/>
      <w:sz w:val="24"/>
      <w:szCs w:val="20"/>
    </w:rPr>
  </w:style>
  <w:style w:type="paragraph" w:styleId="1058" w:customStyle="1">
    <w:name w:val="font6"/>
    <w:basedOn w:val="770"/>
    <w:uiPriority w:val="0"/>
    <w:qFormat/>
    <w:pPr>
      <w:jc w:val="left"/>
      <w:spacing w:before="100" w:beforeAutospacing="1" w:after="100" w:afterAutospacing="1"/>
      <w:widowControl/>
    </w:pPr>
    <w:rPr>
      <w:rFonts w:ascii="宋体" w:hAnsi="宋体" w:cs="宋体"/>
      <w:sz w:val="20"/>
      <w:szCs w:val="20"/>
    </w:rPr>
  </w:style>
  <w:style w:type="paragraph" w:styleId="1059" w:customStyle="1">
    <w:name w:val="项目编号2"/>
    <w:basedOn w:val="1060"/>
    <w:uiPriority w:val="0"/>
    <w:qFormat/>
    <w:pPr>
      <w:numPr>
        <w:numId w:val="2"/>
      </w:numPr>
    </w:pPr>
  </w:style>
  <w:style w:type="paragraph" w:styleId="1060" w:customStyle="1">
    <w:name w:val="项目编号1"/>
    <w:basedOn w:val="770"/>
    <w:uiPriority w:val="0"/>
    <w:qFormat/>
    <w:pPr>
      <w:numPr>
        <w:ilvl w:val="0"/>
        <w:numId w:val="3"/>
      </w:numPr>
      <w:spacing w:before="100" w:beforeAutospacing="1" w:after="100" w:afterAutospacing="1" w:line="360" w:lineRule="auto"/>
    </w:pPr>
    <w:rPr>
      <w:sz w:val="24"/>
    </w:rPr>
  </w:style>
  <w:style w:type="paragraph" w:styleId="1061" w:customStyle="1">
    <w:name w:val="图中文字"/>
    <w:basedOn w:val="770"/>
    <w:uiPriority w:val="0"/>
    <w:qFormat/>
    <w:pPr>
      <w:jc w:val="center"/>
      <w:spacing w:line="0" w:lineRule="atLeast"/>
    </w:pPr>
    <w:rPr>
      <w:sz w:val="24"/>
      <w:szCs w:val="20"/>
    </w:rPr>
  </w:style>
  <w:style w:type="paragraph" w:styleId="1062" w:customStyle="1">
    <w:name w:val="xl46"/>
    <w:basedOn w:val="77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3" w:customStyle="1">
    <w:name w:val="xl25"/>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4" w:customStyle="1">
    <w:name w:val="Char2"/>
    <w:basedOn w:val="770"/>
    <w:uiPriority w:val="0"/>
    <w:qFormat/>
    <w:rPr>
      <w:rFonts w:ascii="Tahoma" w:hAnsi="Tahoma"/>
      <w:sz w:val="24"/>
      <w:szCs w:val="20"/>
    </w:rPr>
  </w:style>
  <w:style w:type="paragraph" w:styleId="1065" w:customStyle="1">
    <w:name w:val="xl35"/>
    <w:basedOn w:val="77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6" w:customStyle="1">
    <w:name w:val="xl40"/>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7" w:customStyle="1">
    <w:name w:val="xl52"/>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68" w:customStyle="1">
    <w:name w:val="xl43"/>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9" w:customStyle="1">
    <w:name w:val="background1"/>
    <w:basedOn w:val="770"/>
    <w:uiPriority w:val="0"/>
    <w:qFormat/>
    <w:pPr>
      <w:jc w:val="left"/>
      <w:spacing w:before="100" w:beforeAutospacing="1" w:after="100" w:afterAutospacing="1"/>
      <w:widowControl/>
    </w:pPr>
    <w:rPr>
      <w:rFonts w:ascii="宋体" w:hAnsi="宋体" w:cs="宋体"/>
      <w:sz w:val="24"/>
    </w:rPr>
  </w:style>
  <w:style w:type="paragraph" w:styleId="1070" w:customStyle="1">
    <w:name w:val="Char Char Char Char Char Char Char"/>
    <w:basedOn w:val="770"/>
    <w:uiPriority w:val="0"/>
    <w:qFormat/>
    <w:pPr>
      <w:ind w:firstLine="200"/>
      <w:spacing w:line="360" w:lineRule="auto"/>
    </w:pPr>
    <w:rPr>
      <w:rFonts w:eastAsia="仿宋_GB2312"/>
      <w:sz w:val="24"/>
    </w:rPr>
  </w:style>
  <w:style w:type="paragraph" w:styleId="1071" w:customStyle="1">
    <w:name w:val="xl38"/>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72" w:customStyle="1">
    <w:name w:val="xl36"/>
    <w:basedOn w:val="77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3" w:customStyle="1">
    <w:name w:val="正文 + 宋体"/>
    <w:basedOn w:val="770"/>
    <w:uiPriority w:val="0"/>
    <w:qFormat/>
    <w:pPr>
      <w:ind w:left="360" w:hanging="360"/>
      <w:jc w:val="left"/>
      <w:widowControl/>
    </w:pPr>
    <w:rPr>
      <w:rFonts w:ascii="宋体" w:hAnsi="宋体" w:cs="宋体"/>
      <w:b/>
      <w:bCs/>
      <w:color w:val="000000"/>
      <w:sz w:val="18"/>
      <w:szCs w:val="18"/>
    </w:rPr>
  </w:style>
  <w:style w:type="paragraph" w:styleId="1074" w:customStyle="1">
    <w:name w:val="正文列项_数字"/>
    <w:basedOn w:val="77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75" w:customStyle="1">
    <w:name w:val="xl39"/>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6" w:customStyle="1">
    <w:name w:val="xl37"/>
    <w:basedOn w:val="77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7" w:customStyle="1">
    <w:name w:val="xl32"/>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8" w:customStyle="1">
    <w:name w:val="font8"/>
    <w:basedOn w:val="770"/>
    <w:uiPriority w:val="0"/>
    <w:qFormat/>
    <w:pPr>
      <w:jc w:val="left"/>
      <w:spacing w:before="100" w:beforeAutospacing="1" w:after="100" w:afterAutospacing="1"/>
      <w:widowControl/>
    </w:pPr>
    <w:rPr>
      <w:sz w:val="36"/>
      <w:szCs w:val="36"/>
    </w:rPr>
  </w:style>
  <w:style w:type="paragraph" w:styleId="1079" w:customStyle="1">
    <w:name w:val="Char"/>
    <w:basedOn w:val="770"/>
    <w:uiPriority w:val="0"/>
    <w:qFormat/>
    <w:pPr>
      <w:tabs>
        <w:tab w:val="left" w:pos="360" w:leader="none"/>
      </w:tabs>
    </w:pPr>
    <w:rPr>
      <w:sz w:val="24"/>
    </w:rPr>
  </w:style>
  <w:style w:type="paragraph" w:styleId="1080" w:customStyle="1">
    <w:name w:val="Char Char Char Char Char Char Char Char Char Char Char Char Char Char Char Char"/>
    <w:basedOn w:val="770"/>
    <w:uiPriority w:val="0"/>
    <w:qFormat/>
    <w:pPr>
      <w:jc w:val="center"/>
      <w:spacing w:after="160" w:line="240" w:lineRule="exact"/>
      <w:widowControl/>
    </w:pPr>
    <w:rPr>
      <w:rFonts w:ascii="宋体" w:hAnsi="宋体"/>
      <w:b/>
      <w:sz w:val="30"/>
      <w:szCs w:val="30"/>
      <w:lang w:eastAsia="en-US"/>
    </w:rPr>
  </w:style>
  <w:style w:type="paragraph" w:styleId="1081" w:customStyle="1">
    <w:name w:val="xl45"/>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2" w:customStyle="1">
    <w:name w:val="Char Char1 Char Char Char Char Char Char"/>
    <w:basedOn w:val="770"/>
    <w:uiPriority w:val="0"/>
    <w:qFormat/>
    <w:pPr>
      <w:jc w:val="left"/>
      <w:spacing w:after="160" w:line="240" w:lineRule="exact"/>
      <w:widowControl/>
    </w:pPr>
    <w:rPr>
      <w:rFonts w:ascii="Verdana" w:hAnsi="Verdana" w:eastAsia="仿宋_GB2312"/>
      <w:sz w:val="24"/>
      <w:szCs w:val="20"/>
      <w:lang w:eastAsia="en-US"/>
    </w:rPr>
  </w:style>
  <w:style w:type="paragraph" w:styleId="1083" w:customStyle="1">
    <w:name w:val="Char Char1"/>
    <w:basedOn w:val="975"/>
    <w:uiPriority w:val="0"/>
    <w:qFormat/>
    <w:rPr>
      <w:rFonts w:ascii="Tahoma" w:hAnsi="Tahoma"/>
      <w:sz w:val="24"/>
    </w:rPr>
  </w:style>
  <w:style w:type="paragraph" w:styleId="1084" w:customStyle="1">
    <w:name w:val="xl26"/>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85" w:customStyle="1">
    <w:name w:val="xl30"/>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6" w:customStyle="1">
    <w:name w:val="xl41"/>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7" w:customStyle="1">
    <w:name w:val="样式 宋体 五号 行距: 单倍行距"/>
    <w:basedOn w:val="770"/>
    <w:uiPriority w:val="0"/>
    <w:qFormat/>
    <w:pPr>
      <w:jc w:val="left"/>
    </w:pPr>
    <w:rPr>
      <w:rFonts w:ascii="宋体" w:hAnsi="宋体"/>
      <w:szCs w:val="20"/>
    </w:rPr>
  </w:style>
  <w:style w:type="paragraph" w:styleId="1088" w:customStyle="1">
    <w:name w:val="Char1 Char Char Char1"/>
    <w:basedOn w:val="770"/>
    <w:uiPriority w:val="0"/>
    <w:qFormat/>
    <w:rPr>
      <w:rFonts w:ascii="Tahoma" w:hAnsi="Tahoma" w:cs="仿宋_GB2312"/>
      <w:sz w:val="24"/>
      <w:szCs w:val="28"/>
    </w:rPr>
  </w:style>
  <w:style w:type="paragraph" w:styleId="1089" w:customStyle="1">
    <w:name w:val="四级条标题"/>
    <w:basedOn w:val="1090"/>
    <w:next w:val="770"/>
    <w:uiPriority w:val="0"/>
    <w:qFormat/>
    <w:pPr>
      <w:numPr>
        <w:ilvl w:val="4"/>
      </w:numPr>
      <w:ind w:left="0" w:hanging="840"/>
      <w:tabs>
        <w:tab w:val="left" w:pos="360" w:leader="none"/>
        <w:tab w:val="left" w:pos="840" w:leader="none"/>
      </w:tabs>
      <w:outlineLvl w:val="4"/>
    </w:pPr>
  </w:style>
  <w:style w:type="paragraph" w:styleId="1090" w:customStyle="1">
    <w:name w:val="三级条标题"/>
    <w:basedOn w:val="1052"/>
    <w:next w:val="770"/>
    <w:uiPriority w:val="0"/>
    <w:qFormat/>
    <w:pPr>
      <w:numPr>
        <w:ilvl w:val="3"/>
        <w:numId w:val="1"/>
      </w:numPr>
      <w:ind w:left="0" w:hanging="840"/>
      <w:outlineLvl w:val="3"/>
    </w:pPr>
  </w:style>
  <w:style w:type="paragraph" w:styleId="1091"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92" w:customStyle="1">
    <w:name w:val="样式 标题 2 + 宋体 五号 行距: 单倍行距"/>
    <w:basedOn w:val="953"/>
    <w:uiPriority w:val="0"/>
    <w:qFormat/>
    <w:pPr>
      <w:numPr>
        <w:ilvl w:val="1"/>
        <w:numId w:val="4"/>
      </w:numPr>
      <w:jc w:val="left"/>
      <w:spacing w:before="260" w:after="260" w:line="240" w:lineRule="auto"/>
    </w:pPr>
    <w:rPr>
      <w:rFonts w:ascii="宋体" w:hAnsi="宋体" w:eastAsia="宋体"/>
      <w:bCs/>
      <w:sz w:val="21"/>
    </w:rPr>
  </w:style>
  <w:style w:type="paragraph" w:styleId="1093" w:customStyle="1">
    <w:name w:val="List Paragraph1"/>
    <w:basedOn w:val="770"/>
    <w:uiPriority w:val="0"/>
    <w:qFormat/>
    <w:pPr>
      <w:ind w:firstLine="420"/>
    </w:pPr>
    <w:rPr>
      <w:rFonts w:ascii="Calibri" w:hAnsi="Calibri"/>
      <w:szCs w:val="22"/>
    </w:rPr>
  </w:style>
  <w:style w:type="paragraph" w:styleId="1094" w:customStyle="1">
    <w:name w:val="项目符号1"/>
    <w:basedOn w:val="1095"/>
    <w:uiPriority w:val="0"/>
    <w:qFormat/>
    <w:pPr>
      <w:ind w:left="-25" w:firstLine="0"/>
    </w:pPr>
  </w:style>
  <w:style w:type="paragraph" w:styleId="1095" w:customStyle="1">
    <w:name w:val="正文文本样式"/>
    <w:basedOn w:val="770"/>
    <w:uiPriority w:val="0"/>
    <w:qFormat/>
    <w:pPr>
      <w:ind w:firstLine="482"/>
      <w:spacing w:line="360" w:lineRule="auto"/>
    </w:pPr>
    <w:rPr>
      <w:rFonts w:cs="宋体"/>
      <w:sz w:val="24"/>
      <w:szCs w:val="20"/>
    </w:rPr>
  </w:style>
  <w:style w:type="paragraph" w:styleId="1096" w:customStyle="1">
    <w:name w:val="xl27"/>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7" w:customStyle="1">
    <w:name w:val="font5"/>
    <w:basedOn w:val="770"/>
    <w:uiPriority w:val="0"/>
    <w:qFormat/>
    <w:pPr>
      <w:jc w:val="left"/>
      <w:spacing w:before="100" w:beforeAutospacing="1" w:after="100" w:afterAutospacing="1"/>
      <w:widowControl/>
    </w:pPr>
    <w:rPr>
      <w:rFonts w:ascii="宋体" w:hAnsi="宋体" w:cs="宋体"/>
      <w:sz w:val="18"/>
      <w:szCs w:val="18"/>
    </w:rPr>
  </w:style>
  <w:style w:type="paragraph" w:styleId="1098" w:customStyle="1">
    <w:name w:val="五级条标题"/>
    <w:basedOn w:val="1089"/>
    <w:next w:val="770"/>
    <w:uiPriority w:val="0"/>
    <w:qFormat/>
    <w:pPr>
      <w:numPr>
        <w:ilvl w:val="5"/>
      </w:numPr>
      <w:ind w:left="0" w:hanging="840"/>
      <w:outlineLvl w:val="5"/>
    </w:pPr>
  </w:style>
  <w:style w:type="paragraph" w:styleId="1099" w:customStyle="1">
    <w:name w:val="xl49"/>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00" w:customStyle="1">
    <w:name w:val="文档正文"/>
    <w:basedOn w:val="770"/>
    <w:uiPriority w:val="0"/>
    <w:qFormat/>
    <w:pPr>
      <w:spacing w:before="120" w:after="120" w:line="180" w:lineRule="auto"/>
    </w:pPr>
    <w:rPr>
      <w:rFonts w:ascii="Arial" w:hAnsi="Arial"/>
      <w:szCs w:val="20"/>
    </w:rPr>
  </w:style>
  <w:style w:type="paragraph" w:styleId="1101" w:customStyle="1">
    <w:name w:val="xl33"/>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2" w:customStyle="1">
    <w:name w:val="xl42"/>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03" w:customStyle="1">
    <w:name w:val="Char Char Char1 Char"/>
    <w:basedOn w:val="770"/>
    <w:uiPriority w:val="0"/>
    <w:qFormat/>
    <w:rPr>
      <w:rFonts w:ascii="Tahoma" w:hAnsi="Tahoma"/>
      <w:sz w:val="24"/>
      <w:szCs w:val="20"/>
    </w:rPr>
  </w:style>
  <w:style w:type="paragraph" w:styleId="1104" w:customStyle="1">
    <w:name w:val="xl44"/>
    <w:basedOn w:val="77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05" w:customStyle="1">
    <w:name w:val="1名"/>
    <w:basedOn w:val="770"/>
    <w:uiPriority w:val="0"/>
    <w:qFormat/>
    <w:pPr>
      <w:numPr>
        <w:ilvl w:val="0"/>
        <w:numId w:val="5"/>
      </w:numPr>
      <w:spacing w:before="120"/>
    </w:pPr>
    <w:rPr>
      <w:rFonts w:ascii="宋体"/>
      <w:sz w:val="28"/>
      <w:szCs w:val="20"/>
    </w:rPr>
  </w:style>
  <w:style w:type="paragraph" w:styleId="1106" w:customStyle="1">
    <w:name w:val="font9"/>
    <w:basedOn w:val="77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07" w:customStyle="1">
    <w:name w:val="Char Char Char1 Char1"/>
    <w:basedOn w:val="770"/>
    <w:uiPriority w:val="0"/>
    <w:qFormat/>
    <w:rPr>
      <w:rFonts w:ascii="Tahoma" w:hAnsi="Tahoma"/>
      <w:sz w:val="24"/>
      <w:szCs w:val="20"/>
    </w:rPr>
  </w:style>
  <w:style w:type="paragraph" w:styleId="1108" w:customStyle="1">
    <w:name w:val="Char Char Char Char Char Char Char Char Char Char"/>
    <w:basedOn w:val="770"/>
    <w:uiPriority w:val="0"/>
    <w:qFormat/>
  </w:style>
  <w:style w:type="paragraph" w:styleId="1109" w:customStyle="1">
    <w:name w:val="Char Char1 Char Char Char Char Char Char Char Char"/>
    <w:basedOn w:val="770"/>
    <w:uiPriority w:val="0"/>
    <w:qFormat/>
    <w:pPr>
      <w:jc w:val="left"/>
      <w:spacing w:after="160" w:line="240" w:lineRule="exact"/>
      <w:widowControl/>
    </w:pPr>
    <w:rPr>
      <w:rFonts w:ascii="Verdana" w:hAnsi="Verdana"/>
      <w:sz w:val="20"/>
      <w:szCs w:val="20"/>
      <w:lang w:eastAsia="en-US"/>
    </w:rPr>
  </w:style>
  <w:style w:type="paragraph" w:styleId="1110" w:customStyle="1">
    <w:name w:val="Char1"/>
    <w:basedOn w:val="770"/>
    <w:uiPriority w:val="0"/>
    <w:qFormat/>
    <w:pPr>
      <w:tabs>
        <w:tab w:val="left" w:pos="360" w:leader="none"/>
      </w:tabs>
    </w:pPr>
    <w:rPr>
      <w:sz w:val="24"/>
    </w:rPr>
  </w:style>
  <w:style w:type="paragraph" w:styleId="1111" w:customStyle="1">
    <w:name w:val="正文列项_字母"/>
    <w:basedOn w:val="77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12" w:customStyle="1">
    <w:name w:val="xl28"/>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3" w:customStyle="1">
    <w:name w:val="xl47"/>
    <w:basedOn w:val="77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4" w:customStyle="1">
    <w:name w:val="默认段落字体 Para Char Char Char Char"/>
    <w:basedOn w:val="770"/>
    <w:uiPriority w:val="0"/>
    <w:qFormat/>
    <w:rPr>
      <w:rFonts w:ascii="Arial" w:hAnsi="Arial" w:cs="Arial"/>
      <w:szCs w:val="21"/>
    </w:rPr>
  </w:style>
  <w:style w:type="paragraph" w:styleId="1115" w:customStyle="1">
    <w:name w:val="xl48"/>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16" w:customStyle="1">
    <w:name w:val="xl31"/>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7" w:customStyle="1">
    <w:name w:val="xl53"/>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8" w:customStyle="1">
    <w:name w:val="Char Char Char"/>
    <w:basedOn w:val="770"/>
    <w:uiPriority w:val="0"/>
    <w:qFormat/>
    <w:rPr>
      <w:rFonts w:ascii="Tahoma" w:hAnsi="Tahoma"/>
      <w:sz w:val="24"/>
      <w:szCs w:val="20"/>
    </w:rPr>
  </w:style>
  <w:style w:type="paragraph" w:styleId="1119" w:customStyle="1">
    <w:name w:val="xl50"/>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20" w:customStyle="1">
    <w:name w:val="缺省文本"/>
    <w:basedOn w:val="770"/>
    <w:uiPriority w:val="0"/>
    <w:qFormat/>
    <w:pPr>
      <w:jc w:val="left"/>
    </w:pPr>
    <w:rPr>
      <w:sz w:val="24"/>
    </w:rPr>
  </w:style>
  <w:style w:type="paragraph" w:styleId="1121" w:customStyle="1">
    <w:name w:val="Char Char Char1"/>
    <w:basedOn w:val="770"/>
    <w:uiPriority w:val="0"/>
    <w:qFormat/>
    <w:rPr>
      <w:rFonts w:ascii="Tahoma" w:hAnsi="Tahoma"/>
      <w:sz w:val="24"/>
      <w:szCs w:val="20"/>
    </w:rPr>
  </w:style>
  <w:style w:type="paragraph" w:styleId="1122" w:customStyle="1">
    <w:name w:val="Char Char Char Char Char Char Char1"/>
    <w:basedOn w:val="770"/>
    <w:uiPriority w:val="0"/>
    <w:qFormat/>
    <w:pPr>
      <w:ind w:firstLine="200"/>
      <w:spacing w:line="360" w:lineRule="auto"/>
    </w:pPr>
    <w:rPr>
      <w:rFonts w:eastAsia="仿宋_GB2312"/>
      <w:sz w:val="24"/>
    </w:rPr>
  </w:style>
  <w:style w:type="paragraph" w:styleId="1123" w:customStyle="1">
    <w:name w:val="xl51"/>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4" w:customStyle="1">
    <w:name w:val="样式2"/>
    <w:basedOn w:val="1013"/>
    <w:uiPriority w:val="0"/>
    <w:qFormat/>
    <w:pPr>
      <w:jc w:val="center"/>
      <w:spacing w:line="360" w:lineRule="auto"/>
    </w:pPr>
    <w:rPr>
      <w:sz w:val="24"/>
    </w:rPr>
  </w:style>
  <w:style w:type="paragraph" w:styleId="1125" w:customStyle="1">
    <w:name w:val="xl24"/>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6" w:customStyle="1">
    <w:name w:val="xl29"/>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7" w:customStyle="1">
    <w:name w:val="正文 + 楷体_GB2312"/>
    <w:basedOn w:val="770"/>
    <w:uiPriority w:val="0"/>
    <w:qFormat/>
    <w:pPr>
      <w:jc w:val="left"/>
      <w:widowControl/>
    </w:pPr>
    <w:rPr>
      <w:rFonts w:ascii="楷体_GB2312" w:eastAsia="楷体_GB2312" w:cs="Arial"/>
      <w:sz w:val="24"/>
    </w:rPr>
  </w:style>
  <w:style w:type="paragraph" w:styleId="1128" w:customStyle="1">
    <w:name w:val="xl34"/>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9" w:customStyle="1">
    <w:name w:val="1 Char Char Char Char"/>
    <w:basedOn w:val="770"/>
    <w:uiPriority w:val="0"/>
    <w:qFormat/>
    <w:rPr>
      <w:rFonts w:ascii="Tahoma" w:hAnsi="Tahoma"/>
      <w:sz w:val="24"/>
      <w:szCs w:val="20"/>
    </w:rPr>
  </w:style>
  <w:style w:type="paragraph" w:styleId="1130"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31" w:customStyle="1">
    <w:name w:val="列出段落1"/>
    <w:basedOn w:val="770"/>
    <w:uiPriority w:val="0"/>
    <w:qFormat/>
    <w:pPr>
      <w:ind w:firstLine="420"/>
    </w:pPr>
    <w:rPr>
      <w:rFonts w:ascii="Calibri" w:hAnsi="Calibri"/>
      <w:szCs w:val="22"/>
    </w:rPr>
  </w:style>
  <w:style w:type="paragraph" w:styleId="1132" w:customStyle="1">
    <w:name w:val="default"/>
    <w:basedOn w:val="770"/>
    <w:uiPriority w:val="0"/>
    <w:qFormat/>
    <w:pPr>
      <w:jc w:val="left"/>
      <w:spacing w:before="100" w:beforeAutospacing="1" w:after="100" w:afterAutospacing="1"/>
      <w:widowControl/>
    </w:pPr>
    <w:rPr>
      <w:rFonts w:ascii="宋体" w:hAnsi="宋体" w:cs="宋体"/>
      <w:sz w:val="24"/>
    </w:rPr>
  </w:style>
  <w:style w:type="paragraph" w:styleId="1133" w:customStyle="1">
    <w:name w:val="字元 字元1"/>
    <w:basedOn w:val="770"/>
    <w:uiPriority w:val="0"/>
    <w:qFormat/>
    <w:rPr>
      <w:rFonts w:ascii="Tahoma" w:hAnsi="Tahoma"/>
      <w:sz w:val="24"/>
      <w:szCs w:val="20"/>
    </w:rPr>
  </w:style>
  <w:style w:type="paragraph" w:styleId="1134" w:customStyle="1">
    <w:name w:val="_Style 160"/>
    <w:uiPriority w:val="0"/>
    <w:qFormat/>
    <w:rPr>
      <w:rFonts w:hint="default" w:ascii="Times New Roman" w:hAnsi="Times New Roman" w:eastAsia="宋体" w:cs="Times New Roman"/>
      <w:sz w:val="21"/>
      <w:szCs w:val="24"/>
      <w:lang w:val="en-US" w:eastAsia="zh-CN" w:bidi="ar-SA"/>
    </w:rPr>
  </w:style>
  <w:style w:type="paragraph" w:styleId="1135" w:customStyle="1">
    <w:name w:val="项目编号3"/>
    <w:basedOn w:val="1095"/>
    <w:uiPriority w:val="0"/>
    <w:qFormat/>
    <w:pPr>
      <w:numPr>
        <w:ilvl w:val="0"/>
        <w:numId w:val="6"/>
      </w:numPr>
    </w:pPr>
  </w:style>
  <w:style w:type="paragraph" w:styleId="1136" w:customStyle="1">
    <w:name w:val="Char21"/>
    <w:basedOn w:val="770"/>
    <w:uiPriority w:val="0"/>
    <w:qFormat/>
    <w:rPr>
      <w:rFonts w:ascii="Tahoma" w:hAnsi="Tahoma"/>
      <w:sz w:val="24"/>
      <w:szCs w:val="20"/>
    </w:rPr>
  </w:style>
  <w:style w:type="paragraph" w:styleId="1137" w:customStyle="1">
    <w:name w:val="表格文字"/>
    <w:basedOn w:val="983"/>
    <w:uiPriority w:val="0"/>
    <w:qFormat/>
    <w:pPr>
      <w:ind w:firstLine="0"/>
      <w:spacing w:before="20" w:after="20" w:line="240" w:lineRule="auto"/>
    </w:pPr>
    <w:rPr>
      <w:rFonts w:ascii="Century Gothic" w:hAnsi="Century Gothic"/>
      <w:sz w:val="20"/>
      <w:szCs w:val="20"/>
    </w:rPr>
  </w:style>
  <w:style w:type="paragraph" w:styleId="1138" w:customStyle="1">
    <w:name w:val="Char Char Char Char Char Char Char Char Char Char1"/>
    <w:basedOn w:val="770"/>
    <w:uiPriority w:val="0"/>
    <w:qFormat/>
    <w:rPr>
      <w:rFonts w:ascii="宋体" w:hAnsi="宋体" w:cs="Courier New"/>
      <w:sz w:val="32"/>
      <w:szCs w:val="32"/>
    </w:rPr>
  </w:style>
  <w:style w:type="paragraph" w:styleId="1139" w:customStyle="1">
    <w:name w:val="正文文本样式 加粗"/>
    <w:basedOn w:val="1095"/>
    <w:uiPriority w:val="0"/>
    <w:qFormat/>
    <w:rPr>
      <w:b/>
    </w:rPr>
  </w:style>
  <w:style w:type="paragraph" w:styleId="1140" w:customStyle="1">
    <w:name w:val="Char2 Char Char Char Char Char Char"/>
    <w:basedOn w:val="770"/>
    <w:uiPriority w:val="0"/>
    <w:qFormat/>
    <w:pPr>
      <w:jc w:val="center"/>
      <w:spacing w:line="400" w:lineRule="exact"/>
      <w:widowControl/>
    </w:pPr>
  </w:style>
  <w:style w:type="paragraph" w:styleId="1141" w:customStyle="1">
    <w:name w:val="Char Char4"/>
    <w:basedOn w:val="770"/>
    <w:uiPriority w:val="0"/>
    <w:qFormat/>
    <w:pPr>
      <w:jc w:val="center"/>
      <w:spacing w:line="400" w:lineRule="exact"/>
      <w:widowControl/>
    </w:pPr>
  </w:style>
  <w:style w:type="paragraph" w:styleId="1142" w:customStyle="1">
    <w:name w:val="Char3 Char Char Char1"/>
    <w:basedOn w:val="770"/>
    <w:uiPriority w:val="0"/>
    <w:qFormat/>
    <w:rPr>
      <w:rFonts w:ascii="Tahoma" w:hAnsi="Tahoma"/>
      <w:sz w:val="24"/>
      <w:szCs w:val="20"/>
    </w:rPr>
  </w:style>
  <w:style w:type="paragraph" w:styleId="1143"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22222222222222"/>
    <w:basedOn w:val="770"/>
    <w:uiPriority w:val="0"/>
    <w:qFormat/>
    <w:pPr>
      <w:ind w:firstLine="480"/>
      <w:jc w:val="left"/>
      <w:spacing w:line="360" w:lineRule="auto"/>
      <w:widowControl/>
    </w:pPr>
    <w:rPr>
      <w:color w:val="ff0000"/>
      <w:sz w:val="24"/>
      <w:szCs w:val="20"/>
    </w:rPr>
  </w:style>
  <w:style w:type="character" w:styleId="1145" w:customStyle="1">
    <w:name w:val="中等深浅网格 1 - 强调文字颜色 2 Char"/>
    <w:link w:val="1146"/>
    <w:uiPriority w:val="0"/>
    <w:qFormat/>
    <w:rPr>
      <w:sz w:val="21"/>
      <w:szCs w:val="24"/>
      <w:lang w:val="zh-CN" w:eastAsia="zh-CN" w:bidi="ar-SA"/>
    </w:rPr>
  </w:style>
  <w:style w:type="paragraph" w:styleId="1146" w:customStyle="1">
    <w:name w:val="1"/>
    <w:link w:val="1145"/>
    <w:uiPriority w:val="0"/>
    <w:qFormat/>
    <w:rPr>
      <w:rFonts w:hint="default" w:ascii="Times New Roman" w:hAnsi="Times New Roman" w:eastAsia="宋体" w:cs="Times New Roman"/>
      <w:sz w:val="21"/>
      <w:szCs w:val="24"/>
      <w:lang w:val="zh-CN" w:eastAsia="zh-CN" w:bidi="ar-SA"/>
    </w:rPr>
  </w:style>
  <w:style w:type="paragraph" w:styleId="1147" w:customStyle="1">
    <w:name w:val="图文"/>
    <w:basedOn w:val="770"/>
    <w:uiPriority w:val="0"/>
    <w:qFormat/>
    <w:pPr>
      <w:spacing w:after="50" w:line="360" w:lineRule="auto"/>
    </w:pPr>
    <w:rPr>
      <w:sz w:val="24"/>
    </w:rPr>
  </w:style>
  <w:style w:type="paragraph" w:styleId="1148" w:customStyle="1">
    <w:name w:val="xl23"/>
    <w:basedOn w:val="770"/>
    <w:uiPriority w:val="0"/>
    <w:qFormat/>
    <w:pPr>
      <w:spacing w:before="100" w:beforeAutospacing="1" w:after="100" w:afterAutospacing="1" w:line="360" w:lineRule="auto"/>
      <w:widowControl/>
    </w:pPr>
    <w:rPr>
      <w:sz w:val="24"/>
      <w:szCs w:val="20"/>
    </w:rPr>
  </w:style>
  <w:style w:type="paragraph" w:styleId="1149" w:customStyle="1">
    <w:name w:val="正文表格"/>
    <w:basedOn w:val="770"/>
    <w:link w:val="1150"/>
    <w:uiPriority w:val="0"/>
    <w:qFormat/>
    <w:pPr>
      <w:jc w:val="left"/>
    </w:pPr>
    <w:rPr>
      <w:rFonts w:ascii="宋体" w:hAnsi="宋体"/>
      <w:color w:val="000000"/>
      <w:szCs w:val="21"/>
    </w:rPr>
  </w:style>
  <w:style w:type="character" w:styleId="1150" w:customStyle="1">
    <w:name w:val="正文表格 Char"/>
    <w:link w:val="1149"/>
    <w:uiPriority w:val="0"/>
    <w:qFormat/>
    <w:rPr>
      <w:rFonts w:ascii="宋体" w:hAnsi="宋体"/>
      <w:color w:val="000000"/>
      <w:sz w:val="21"/>
      <w:szCs w:val="21"/>
    </w:rPr>
  </w:style>
  <w:style w:type="paragraph" w:styleId="1151" w:customStyle="1">
    <w:name w:val="正文重点"/>
    <w:basedOn w:val="770"/>
    <w:link w:val="1152"/>
    <w:uiPriority w:val="0"/>
    <w:qFormat/>
    <w:pPr>
      <w:ind w:firstLine="482"/>
      <w:jc w:val="left"/>
      <w:spacing w:line="360" w:lineRule="auto"/>
    </w:pPr>
    <w:rPr>
      <w:b/>
      <w:sz w:val="24"/>
      <w:szCs w:val="20"/>
    </w:rPr>
  </w:style>
  <w:style w:type="character" w:styleId="1152" w:customStyle="1">
    <w:name w:val="正文重点 Char"/>
    <w:link w:val="1151"/>
    <w:uiPriority w:val="0"/>
    <w:qFormat/>
    <w:rPr>
      <w:b/>
      <w:sz w:val="24"/>
    </w:rPr>
  </w:style>
  <w:style w:type="paragraph" w:styleId="1153" w:customStyle="1">
    <w:name w:val="标题1-附件"/>
    <w:basedOn w:val="952"/>
    <w:uiPriority w:val="0"/>
    <w:qFormat/>
    <w:pPr>
      <w:jc w:val="left"/>
    </w:pPr>
    <w:rPr>
      <w:sz w:val="24"/>
      <w:szCs w:val="24"/>
    </w:rPr>
  </w:style>
  <w:style w:type="paragraph" w:styleId="1154" w:customStyle="1">
    <w:name w:val="正文小标题"/>
    <w:basedOn w:val="770"/>
    <w:next w:val="972"/>
    <w:link w:val="1155"/>
    <w:uiPriority w:val="0"/>
    <w:qFormat/>
    <w:pPr>
      <w:ind w:firstLine="482"/>
      <w:jc w:val="left"/>
      <w:spacing w:before="312" w:after="312"/>
    </w:pPr>
    <w:rPr>
      <w:rFonts w:ascii="宋体" w:hAnsi="宋体"/>
      <w:b/>
      <w:i/>
      <w:color w:val="ff0000"/>
      <w:sz w:val="24"/>
      <w:szCs w:val="20"/>
    </w:rPr>
  </w:style>
  <w:style w:type="character" w:styleId="1155" w:customStyle="1">
    <w:name w:val="正文小标题 Char"/>
    <w:link w:val="1154"/>
    <w:uiPriority w:val="0"/>
    <w:qFormat/>
    <w:rPr>
      <w:rFonts w:ascii="宋体" w:hAnsi="宋体"/>
      <w:b/>
      <w:i/>
      <w:color w:val="ff0000"/>
      <w:sz w:val="24"/>
    </w:rPr>
  </w:style>
  <w:style w:type="paragraph" w:styleId="1156" w:customStyle="1">
    <w:name w:val="正文大标题"/>
    <w:basedOn w:val="1154"/>
    <w:next w:val="972"/>
    <w:link w:val="1157"/>
    <w:uiPriority w:val="0"/>
    <w:qFormat/>
    <w:pPr>
      <w:jc w:val="center"/>
    </w:pPr>
    <w:rPr>
      <w:i w:val="0"/>
      <w:color w:val="000000"/>
      <w:sz w:val="28"/>
      <w:szCs w:val="21"/>
    </w:rPr>
  </w:style>
  <w:style w:type="character" w:styleId="1157" w:customStyle="1">
    <w:name w:val="正文大标题 Char"/>
    <w:link w:val="1156"/>
    <w:uiPriority w:val="0"/>
    <w:qFormat/>
    <w:rPr>
      <w:rFonts w:ascii="宋体" w:hAnsi="宋体"/>
      <w:b/>
      <w:color w:val="000000"/>
      <w:sz w:val="28"/>
      <w:szCs w:val="21"/>
    </w:rPr>
  </w:style>
  <w:style w:type="paragraph" w:styleId="1158" w:customStyle="1">
    <w:name w:val="注释"/>
    <w:basedOn w:val="770"/>
    <w:link w:val="1159"/>
    <w:uiPriority w:val="0"/>
    <w:qFormat/>
    <w:pPr>
      <w:ind w:left="420" w:hanging="420"/>
      <w:jc w:val="left"/>
    </w:pPr>
    <w:rPr>
      <w:rFonts w:ascii="宋体" w:hAnsi="宋体"/>
      <w:szCs w:val="21"/>
    </w:rPr>
  </w:style>
  <w:style w:type="character" w:styleId="1159" w:customStyle="1">
    <w:name w:val="注释 Char"/>
    <w:link w:val="1158"/>
    <w:uiPriority w:val="0"/>
    <w:qFormat/>
    <w:rPr>
      <w:rFonts w:ascii="宋体" w:hAnsi="宋体"/>
      <w:sz w:val="21"/>
      <w:szCs w:val="21"/>
    </w:rPr>
  </w:style>
  <w:style w:type="paragraph" w:styleId="1160" w:customStyle="1">
    <w:name w:val="正文须知-1级"/>
    <w:basedOn w:val="770"/>
    <w:next w:val="770"/>
    <w:uiPriority w:val="0"/>
    <w:qFormat/>
    <w:pPr>
      <w:numPr>
        <w:ilvl w:val="0"/>
        <w:numId w:val="7"/>
      </w:numPr>
      <w:spacing w:line="300" w:lineRule="auto"/>
    </w:pPr>
    <w:rPr>
      <w:rFonts w:ascii="宋体" w:hAnsi="Calibri"/>
      <w:sz w:val="24"/>
      <w:szCs w:val="21"/>
    </w:rPr>
  </w:style>
  <w:style w:type="paragraph" w:styleId="1161" w:customStyle="1">
    <w:name w:val="正文须知-2级"/>
    <w:basedOn w:val="770"/>
    <w:uiPriority w:val="0"/>
    <w:qFormat/>
    <w:pPr>
      <w:numPr>
        <w:ilvl w:val="1"/>
        <w:numId w:val="7"/>
      </w:numPr>
      <w:spacing w:line="300" w:lineRule="auto"/>
    </w:pPr>
    <w:rPr>
      <w:rFonts w:ascii="宋体" w:hAnsi="Calibri"/>
      <w:sz w:val="24"/>
      <w:szCs w:val="21"/>
    </w:rPr>
  </w:style>
  <w:style w:type="paragraph" w:styleId="1162" w:customStyle="1">
    <w:name w:val="正文须知-3级"/>
    <w:basedOn w:val="770"/>
    <w:uiPriority w:val="0"/>
    <w:qFormat/>
    <w:pPr>
      <w:numPr>
        <w:ilvl w:val="2"/>
        <w:numId w:val="7"/>
      </w:numPr>
      <w:ind w:hanging="355"/>
      <w:spacing w:line="300" w:lineRule="auto"/>
    </w:pPr>
    <w:rPr>
      <w:rFonts w:ascii="宋体" w:hAnsi="Calibri"/>
      <w:sz w:val="24"/>
      <w:szCs w:val="21"/>
    </w:rPr>
  </w:style>
  <w:style w:type="character" w:styleId="1163" w:customStyle="1">
    <w:name w:val="纯文本 字符"/>
    <w:link w:val="770"/>
    <w:uiPriority w:val="99"/>
    <w:qFormat/>
    <w:rPr>
      <w:rFonts w:ascii="宋体" w:hAnsi="Courier New" w:eastAsia="宋体" w:cs="Times New Roman"/>
      <w:sz w:val="21"/>
      <w:szCs w:val="21"/>
      <w:lang w:val="en-US" w:eastAsia="zh-CN" w:bidi="ar-SA"/>
    </w:rPr>
  </w:style>
  <w:style w:type="paragraph" w:styleId="1164" w:customStyle="1">
    <w:name w:val="表格1"/>
    <w:basedOn w:val="770"/>
    <w:uiPriority w:val="0"/>
    <w:qFormat/>
    <w:pPr>
      <w:ind w:firstLine="480"/>
      <w:jc w:val="center"/>
    </w:pPr>
    <w:rPr>
      <w:sz w:val="24"/>
      <w:szCs w:val="20"/>
    </w:rPr>
  </w:style>
  <w:style w:type="character" w:styleId="1165" w:customStyle="1">
    <w:name w:val="纯文本 字符1"/>
    <w:link w:val="770"/>
    <w:uiPriority w:val="0"/>
    <w:qFormat/>
    <w:rPr>
      <w:rFonts w:ascii="宋体" w:hAnsi="Courier New"/>
    </w:rPr>
  </w:style>
  <w:style w:type="character" w:styleId="1166" w:customStyle="1">
    <w:name w:val="bjh-p"/>
    <w:link w:val="770"/>
    <w:uiPriority w:val="0"/>
    <w:qFormat/>
  </w:style>
  <w:style w:type="paragraph" w:styleId="1167" w:customStyle="1">
    <w:name w:val="无标题条"/>
    <w:next w:val="770"/>
    <w:uiPriority w:val="0"/>
    <w:qFormat/>
    <w:pPr>
      <w:jc w:val="both"/>
    </w:pPr>
    <w:rPr>
      <w:rFonts w:hint="default" w:ascii="Times New Roman" w:hAnsi="Times New Roman" w:eastAsia="宋体" w:cs="Times New Roman"/>
      <w:sz w:val="21"/>
      <w:lang w:val="en-US" w:eastAsia="zh-CN" w:bidi="ar-SA"/>
    </w:rPr>
  </w:style>
  <w:style w:type="character" w:styleId="1168" w:customStyle="1">
    <w:name w:val="正文格式 Char"/>
    <w:link w:val="1169"/>
    <w:uiPriority w:val="0"/>
    <w:qFormat/>
    <w:rPr>
      <w:rFonts w:ascii="宋体" w:hAnsi="宋体"/>
      <w:sz w:val="24"/>
      <w:szCs w:val="24"/>
      <w:lang w:val="en-GB"/>
    </w:rPr>
  </w:style>
  <w:style w:type="paragraph" w:styleId="1169" w:customStyle="1">
    <w:name w:val="正文格式"/>
    <w:basedOn w:val="770"/>
    <w:link w:val="1168"/>
    <w:uiPriority w:val="0"/>
    <w:qFormat/>
    <w:pPr>
      <w:ind w:firstLine="480"/>
      <w:spacing w:line="360" w:lineRule="auto"/>
    </w:pPr>
    <w:rPr>
      <w:rFonts w:ascii="宋体" w:hAnsi="宋体"/>
      <w:sz w:val="24"/>
      <w:lang w:val="en-GB"/>
    </w:rPr>
  </w:style>
  <w:style w:type="character" w:styleId="1170" w:customStyle="1">
    <w:name w:val="标题 3 Char"/>
    <w:link w:val="770"/>
    <w:uiPriority w:val="0"/>
    <w:qFormat/>
    <w:rPr>
      <w:rFonts w:ascii="宋体" w:eastAsia="宋体"/>
      <w:b/>
      <w:sz w:val="24"/>
      <w:u w:val="single"/>
      <w:lang w:val="en-US" w:eastAsia="zh-CN" w:bidi="ar-SA"/>
    </w:rPr>
  </w:style>
  <w:style w:type="character" w:styleId="1171" w:customStyle="1">
    <w:name w:val="正文缩进 Char"/>
    <w:link w:val="770"/>
    <w:uiPriority w:val="0"/>
    <w:qFormat/>
    <w:rPr>
      <w:rFonts w:ascii="宋体" w:eastAsia="宋体"/>
      <w:sz w:val="24"/>
      <w:szCs w:val="24"/>
      <w:lang w:val="en-US" w:eastAsia="zh-CN" w:bidi="ar-SA"/>
    </w:rPr>
  </w:style>
  <w:style w:type="character" w:styleId="1172" w:customStyle="1">
    <w:name w:val="Char Char111"/>
    <w:link w:val="770"/>
    <w:uiPriority w:val="0"/>
    <w:qFormat/>
    <w:rPr>
      <w:rFonts w:ascii="宋体" w:eastAsia="宋体"/>
      <w:b/>
      <w:sz w:val="24"/>
      <w:u w:val="single"/>
      <w:lang w:val="en-US" w:eastAsia="zh-CN" w:bidi="ar-SA"/>
    </w:rPr>
  </w:style>
  <w:style w:type="character" w:styleId="1173" w:customStyle="1">
    <w:name w:val="正文文本缩进 Char"/>
    <w:link w:val="770"/>
    <w:uiPriority w:val="0"/>
    <w:qFormat/>
    <w:rPr>
      <w:rFonts w:eastAsia="宋体"/>
      <w:sz w:val="24"/>
      <w:szCs w:val="24"/>
      <w:lang w:val="en-US" w:eastAsia="zh-CN" w:bidi="ar-SA"/>
    </w:rPr>
  </w:style>
  <w:style w:type="character" w:styleId="1174" w:customStyle="1">
    <w:name w:val="列出段落 Char"/>
    <w:link w:val="770"/>
    <w:uiPriority w:val="0"/>
    <w:qFormat/>
    <w:rPr>
      <w:rFonts w:ascii="Calibri" w:hAnsi="Calibri" w:eastAsia="宋体"/>
      <w:sz w:val="21"/>
      <w:szCs w:val="22"/>
      <w:lang w:val="en-US" w:eastAsia="zh-CN" w:bidi="ar-SA"/>
    </w:rPr>
  </w:style>
  <w:style w:type="character" w:styleId="1175" w:customStyle="1">
    <w:name w:val="页眉 Char"/>
    <w:link w:val="770"/>
    <w:uiPriority w:val="0"/>
    <w:qFormat/>
    <w:rPr>
      <w:rFonts w:eastAsia="宋体"/>
      <w:sz w:val="18"/>
      <w:szCs w:val="18"/>
      <w:lang w:val="en-US" w:eastAsia="zh-CN" w:bidi="ar-SA"/>
    </w:rPr>
  </w:style>
  <w:style w:type="character" w:styleId="1176" w:customStyle="1">
    <w:name w:val="标题 2 Char"/>
    <w:link w:val="770"/>
    <w:uiPriority w:val="0"/>
    <w:qFormat/>
    <w:rPr>
      <w:rFonts w:ascii="Arial" w:hAnsi="Arial" w:eastAsia="黑体"/>
      <w:b/>
      <w:sz w:val="30"/>
      <w:lang w:val="en-US" w:eastAsia="zh-CN" w:bidi="ar-SA"/>
    </w:rPr>
  </w:style>
  <w:style w:type="paragraph" w:styleId="1177" w:customStyle="1">
    <w:name w:val="字元 字元2"/>
    <w:basedOn w:val="770"/>
    <w:uiPriority w:val="0"/>
    <w:qFormat/>
    <w:rPr>
      <w:rFonts w:ascii="Tahoma" w:hAnsi="Tahoma"/>
      <w:sz w:val="24"/>
      <w:szCs w:val="20"/>
    </w:rPr>
  </w:style>
  <w:style w:type="paragraph" w:styleId="1178" w:customStyle="1">
    <w:name w:val="Char3 Char Char Char2"/>
    <w:basedOn w:val="770"/>
    <w:uiPriority w:val="0"/>
    <w:qFormat/>
    <w:rPr>
      <w:rFonts w:ascii="Tahoma" w:hAnsi="Tahoma"/>
      <w:sz w:val="24"/>
      <w:szCs w:val="20"/>
    </w:rPr>
  </w:style>
  <w:style w:type="paragraph" w:styleId="1179" w:customStyle="1">
    <w:name w:val="正文文本缩进2"/>
    <w:basedOn w:val="770"/>
    <w:uiPriority w:val="0"/>
    <w:qFormat/>
    <w:pPr>
      <w:ind w:firstLine="480"/>
      <w:spacing w:line="480" w:lineRule="exact"/>
    </w:pPr>
    <w:rPr>
      <w:rFonts w:ascii="宋体" w:hAnsi="宋体"/>
      <w:sz w:val="24"/>
      <w:lang w:val="zh-CN" w:eastAsia="zh-CN"/>
    </w:rPr>
  </w:style>
  <w:style w:type="paragraph" w:styleId="1180" w:customStyle="1">
    <w:name w:val="Char3"/>
    <w:basedOn w:val="770"/>
    <w:uiPriority w:val="0"/>
    <w:qFormat/>
    <w:pPr>
      <w:tabs>
        <w:tab w:val="left" w:pos="360" w:leader="none"/>
      </w:tabs>
    </w:pPr>
    <w:rPr>
      <w:sz w:val="24"/>
    </w:rPr>
  </w:style>
  <w:style w:type="paragraph" w:styleId="1181" w:customStyle="1">
    <w:name w:val="Char Char Char Char Char Char Char Char Char Char Char Char Char Char Char Char1"/>
    <w:basedOn w:val="770"/>
    <w:uiPriority w:val="0"/>
    <w:qFormat/>
    <w:pPr>
      <w:jc w:val="center"/>
      <w:spacing w:after="160" w:line="240" w:lineRule="exact"/>
      <w:widowControl/>
    </w:pPr>
    <w:rPr>
      <w:rFonts w:ascii="宋体" w:hAnsi="宋体"/>
      <w:b/>
      <w:sz w:val="30"/>
      <w:szCs w:val="30"/>
      <w:lang w:eastAsia="en-US"/>
    </w:rPr>
  </w:style>
  <w:style w:type="paragraph" w:styleId="1182" w:customStyle="1">
    <w:name w:val="Char Char1 Char Char Char Char Char Char1"/>
    <w:basedOn w:val="770"/>
    <w:uiPriority w:val="0"/>
    <w:qFormat/>
    <w:pPr>
      <w:jc w:val="left"/>
      <w:spacing w:after="160" w:line="240" w:lineRule="exact"/>
      <w:widowControl/>
    </w:pPr>
    <w:rPr>
      <w:rFonts w:ascii="Verdana" w:hAnsi="Verdana" w:eastAsia="仿宋_GB2312"/>
      <w:sz w:val="24"/>
      <w:szCs w:val="20"/>
      <w:lang w:eastAsia="en-US"/>
    </w:rPr>
  </w:style>
  <w:style w:type="paragraph" w:styleId="1183" w:customStyle="1">
    <w:name w:val="列出段落2"/>
    <w:basedOn w:val="770"/>
    <w:uiPriority w:val="0"/>
    <w:qFormat/>
    <w:pPr>
      <w:ind w:firstLine="420"/>
    </w:pPr>
    <w:rPr>
      <w:rFonts w:ascii="Calibri" w:hAnsi="Calibri"/>
      <w:szCs w:val="22"/>
    </w:rPr>
  </w:style>
  <w:style w:type="paragraph" w:styleId="1184" w:customStyle="1">
    <w:name w:val="Char Char Char1 Char2"/>
    <w:basedOn w:val="770"/>
    <w:uiPriority w:val="0"/>
    <w:qFormat/>
    <w:rPr>
      <w:rFonts w:ascii="Tahoma" w:hAnsi="Tahoma"/>
      <w:sz w:val="24"/>
      <w:szCs w:val="20"/>
    </w:rPr>
  </w:style>
  <w:style w:type="paragraph" w:styleId="1185" w:customStyle="1">
    <w:name w:val="Char Char Char2"/>
    <w:basedOn w:val="770"/>
    <w:uiPriority w:val="0"/>
    <w:qFormat/>
    <w:rPr>
      <w:rFonts w:ascii="Tahoma" w:hAnsi="Tahoma"/>
      <w:sz w:val="24"/>
      <w:szCs w:val="20"/>
    </w:rPr>
  </w:style>
  <w:style w:type="paragraph" w:styleId="1186" w:customStyle="1">
    <w:name w:val="Char Char Char Char Char Char Char2"/>
    <w:basedOn w:val="770"/>
    <w:uiPriority w:val="0"/>
    <w:qFormat/>
    <w:pPr>
      <w:ind w:firstLine="200"/>
      <w:spacing w:line="360" w:lineRule="auto"/>
    </w:pPr>
    <w:rPr>
      <w:rFonts w:eastAsia="仿宋_GB2312"/>
      <w:sz w:val="24"/>
    </w:rPr>
  </w:style>
  <w:style w:type="paragraph" w:styleId="1187" w:customStyle="1">
    <w:name w:val="正文缩进2"/>
    <w:basedOn w:val="770"/>
    <w:uiPriority w:val="0"/>
    <w:qFormat/>
    <w:pPr>
      <w:ind w:firstLine="567"/>
      <w:spacing w:line="480" w:lineRule="exact"/>
      <w:widowControl/>
    </w:pPr>
    <w:rPr>
      <w:rFonts w:ascii="宋体"/>
      <w:color w:val="000000"/>
      <w:sz w:val="28"/>
      <w:szCs w:val="20"/>
      <w:lang w:val="zh-CN" w:eastAsia="zh-CN"/>
    </w:rPr>
  </w:style>
  <w:style w:type="paragraph" w:styleId="1188" w:customStyle="1">
    <w:name w:val="Revision"/>
    <w:uiPriority w:val="0"/>
    <w:qFormat/>
    <w:rPr>
      <w:rFonts w:hint="default" w:ascii="Times New Roman" w:hAnsi="Times New Roman" w:eastAsia="宋体" w:cs="Times New Roman"/>
      <w:sz w:val="21"/>
      <w:szCs w:val="24"/>
      <w:lang w:val="en-US" w:eastAsia="zh-CN" w:bidi="ar-SA"/>
    </w:rPr>
  </w:style>
  <w:style w:type="paragraph" w:styleId="1189" w:customStyle="1">
    <w:name w:val="Char22"/>
    <w:basedOn w:val="770"/>
    <w:uiPriority w:val="0"/>
    <w:qFormat/>
    <w:rPr>
      <w:rFonts w:ascii="Tahoma" w:hAnsi="Tahoma"/>
      <w:sz w:val="24"/>
      <w:szCs w:val="20"/>
    </w:rPr>
  </w:style>
  <w:style w:type="paragraph" w:styleId="1190" w:customStyle="1">
    <w:name w:val="Char Char Char Char Char Char Char Char Char Char2"/>
    <w:basedOn w:val="770"/>
    <w:uiPriority w:val="0"/>
    <w:qFormat/>
    <w:rPr>
      <w:rFonts w:ascii="宋体" w:hAnsi="宋体" w:cs="Courier New"/>
      <w:sz w:val="32"/>
      <w:szCs w:val="32"/>
    </w:rPr>
  </w:style>
  <w:style w:type="paragraph" w:styleId="1191" w:customStyle="1">
    <w:name w:val="Char2 Char Char Char Char Char Char1"/>
    <w:basedOn w:val="770"/>
    <w:uiPriority w:val="0"/>
    <w:qFormat/>
    <w:pPr>
      <w:jc w:val="center"/>
      <w:spacing w:line="400" w:lineRule="exact"/>
      <w:widowControl/>
    </w:pPr>
  </w:style>
  <w:style w:type="character" w:styleId="1192" w:customStyle="1">
    <w:name w:val="页脚 Char"/>
    <w:link w:val="770"/>
    <w:uiPriority w:val="0"/>
    <w:qFormat/>
    <w:rPr>
      <w:rFonts w:ascii="宋体" w:eastAsia="宋体"/>
      <w:sz w:val="18"/>
      <w:lang w:val="en-US" w:eastAsia="zh-CN" w:bidi="ar-SA"/>
    </w:rPr>
  </w:style>
  <w:style w:type="paragraph" w:styleId="1193" w:customStyle="1">
    <w:name w:val="Char Char41"/>
    <w:basedOn w:val="770"/>
    <w:uiPriority w:val="0"/>
    <w:qFormat/>
    <w:pPr>
      <w:jc w:val="center"/>
      <w:spacing w:line="400" w:lineRule="exact"/>
      <w:widowControl/>
    </w:pPr>
  </w:style>
  <w:style w:type="character" w:styleId="1194" w:customStyle="1">
    <w:name w:val="批注文字 Char"/>
    <w:link w:val="770"/>
    <w:uiPriority w:val="99"/>
    <w:qFormat/>
    <w:rPr>
      <w:sz w:val="21"/>
      <w:szCs w:val="24"/>
    </w:rPr>
  </w:style>
  <w:style w:type="character" w:styleId="1195" w:customStyle="1">
    <w:name w:val="标题 Char"/>
    <w:link w:val="770"/>
    <w:uiPriority w:val="0"/>
    <w:qFormat/>
    <w:rPr>
      <w:b/>
      <w:sz w:val="32"/>
    </w:rPr>
  </w:style>
  <w:style w:type="paragraph" w:styleId="1196" w:customStyle="1">
    <w:name w:val="图例"/>
    <w:basedOn w:val="770"/>
    <w:uiPriority w:val="0"/>
    <w:qFormat/>
    <w:pPr>
      <w:jc w:val="center"/>
      <w:spacing w:before="120" w:after="120" w:line="360" w:lineRule="auto"/>
    </w:pPr>
    <w:rPr>
      <w:rFonts w:eastAsia="仿宋_GB2312"/>
      <w:b/>
      <w:sz w:val="24"/>
      <w:szCs w:val="20"/>
    </w:rPr>
  </w:style>
  <w:style w:type="paragraph" w:styleId="1197" w:customStyle="1">
    <w:name w:val="Table Paragraph"/>
    <w:basedOn w:val="770"/>
    <w:uiPriority w:val="1"/>
    <w:qFormat/>
    <w:pPr>
      <w:jc w:val="left"/>
    </w:pPr>
    <w:rPr>
      <w:rFonts w:ascii="宋体" w:hAnsi="宋体" w:cs="宋体"/>
      <w:sz w:val="22"/>
      <w:szCs w:val="22"/>
      <w:lang w:eastAsia="en-US"/>
    </w:rPr>
  </w:style>
  <w:style w:type="table" w:styleId="1198" w:customStyle="1">
    <w:name w:val="Table Normal"/>
    <w:uiPriority w:val="2"/>
    <w:semiHidden/>
    <w:qFormat/>
    <w:pPr>
      <w:widowControl w:val="off"/>
    </w:pPr>
    <w:rPr>
      <w:rFonts w:ascii="Calibri" w:hAnsi="Calibri"/>
      <w:sz w:val="22"/>
      <w:szCs w:val="22"/>
      <w:lang w:val="en-US" w:eastAsia="en-US" w:bidi="ar-SA"/>
    </w:rPr>
    <w:tblPr/>
  </w:style>
  <w:style w:type="paragraph" w:styleId="1199" w:customStyle="1">
    <w:name w:val="成文日期"/>
    <w:basedOn w:val="770"/>
    <w:link w:val="1200"/>
    <w:uiPriority w:val="0"/>
    <w:qFormat/>
    <w:pPr>
      <w:ind w:right="400" w:firstLine="200"/>
      <w:jc w:val="right"/>
      <w:spacing w:line="570" w:lineRule="exact"/>
    </w:pPr>
    <w:rPr>
      <w:rFonts w:ascii="仿宋_GB2312" w:eastAsia="仿宋_GB2312"/>
      <w:sz w:val="32"/>
      <w:szCs w:val="20"/>
    </w:rPr>
  </w:style>
  <w:style w:type="character" w:styleId="1200" w:customStyle="1">
    <w:name w:val="成文日期 Char"/>
    <w:link w:val="1199"/>
    <w:uiPriority w:val="0"/>
    <w:qFormat/>
    <w:rPr>
      <w:rFonts w:ascii="仿宋_GB2312" w:eastAsia="仿宋_GB2312"/>
      <w:sz w:val="32"/>
    </w:rPr>
  </w:style>
  <w:style w:type="paragraph" w:styleId="1201" w:customStyle="1">
    <w:name w:val="无间隔1"/>
    <w:basedOn w:val="770"/>
    <w:uiPriority w:val="99"/>
    <w:qFormat/>
    <w:pPr>
      <w:jc w:val="center"/>
    </w:pPr>
    <w:rPr>
      <w:rFonts w:ascii="宋体" w:hAnsi="宋体" w:cs="宋体"/>
      <w:szCs w:val="24"/>
    </w:rPr>
  </w:style>
  <w:style w:type="paragraph" w:styleId="1202" w:customStyle="1">
    <w:name w:val="样式4"/>
    <w:basedOn w:val="770"/>
    <w:uiPriority w:val="0"/>
    <w:qFormat/>
    <w:rPr>
      <w:sz w:val="24"/>
      <w:szCs w:val="24"/>
    </w:rPr>
  </w:style>
  <w:style w:type="paragraph" w:styleId="1203" w:customStyle="1">
    <w:name w:val="段"/>
    <w:basedOn w:val="770"/>
    <w:next w:val="770"/>
    <w:uiPriority w:val="0"/>
    <w:qFormat/>
    <w:pPr>
      <w:ind w:firstLine="200"/>
      <w:widowControl/>
    </w:pPr>
    <w:rPr>
      <w:rFonts w:hint="eastAsia" w:ascii="宋体" w:hAnsi="Times New Roman"/>
      <w:szCs w:val="20"/>
    </w:rPr>
  </w:style>
  <w:style w:type="paragraph" w:styleId="1204">
    <w:name w:val="List Paragraph"/>
    <w:basedOn w:val="770"/>
    <w:uiPriority w:val="34"/>
    <w:qFormat/>
    <w:pPr>
      <w:ind w:firstLine="420"/>
    </w:pPr>
  </w:style>
  <w:style w:type="paragraph" w:styleId="1205" w:customStyle="1">
    <w:name w:val="Heading #2|1"/>
    <w:basedOn w:val="770"/>
    <w:uiPriority w:val="0"/>
    <w:qFormat/>
    <w:pPr>
      <w:ind w:left="-20"/>
      <w:jc w:val="center"/>
      <w:shd w:val="clear" w:color="auto" w:fill="auto"/>
      <w:widowControl w:val="off"/>
      <w:outlineLvl w:val="1"/>
    </w:pPr>
    <w:rPr>
      <w:rFonts w:ascii="宋体" w:hAnsi="宋体" w:eastAsia="宋体" w:cs="宋体"/>
      <w:sz w:val="32"/>
      <w:szCs w:val="32"/>
      <w:u w:val="none"/>
      <w:shd w:val="clear" w:color="auto" w:fill="auto"/>
      <w:lang w:val="zh-TW" w:eastAsia="zh-TW" w:bidi="zh-TW"/>
    </w:rPr>
  </w:style>
  <w:style w:type="character" w:styleId="1206" w:customStyle="1">
    <w:name w:val="font31"/>
    <w:basedOn w:val="960"/>
    <w:link w:val="770"/>
    <w:uiPriority w:val="0"/>
    <w:qFormat/>
    <w:rPr>
      <w:rFonts w:hint="eastAsia" w:ascii="宋体" w:hAnsi="宋体" w:eastAsia="宋体" w:cs="宋体"/>
      <w:color w:val="ff0000"/>
      <w:sz w:val="22"/>
      <w:szCs w:val="22"/>
      <w:u w:val="none"/>
    </w:rPr>
  </w:style>
  <w:style w:type="character" w:styleId="1207" w:customStyle="1">
    <w:name w:val="font21"/>
    <w:basedOn w:val="960"/>
    <w:link w:val="770"/>
    <w:uiPriority w:val="0"/>
    <w:qFormat/>
    <w:rPr>
      <w:rFonts w:hint="eastAsia" w:ascii="宋体" w:hAnsi="宋体" w:eastAsia="宋体" w:cs="宋体"/>
      <w:color w:val="000000"/>
      <w:sz w:val="22"/>
      <w:szCs w:val="22"/>
      <w:u w:val="none"/>
    </w:rPr>
  </w:style>
  <w:style w:type="numbering" w:styleId="12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邵叶</cp:lastModifiedBy>
  <cp:revision>10</cp:revision>
  <dcterms:created xsi:type="dcterms:W3CDTF">2022-05-31T00:03:00Z</dcterms:created>
  <dcterms:modified xsi:type="dcterms:W3CDTF">2026-01-13T08:03:27Z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48C3C5C48A98485890C1EC24C6E1AB21_12</vt:lpwstr>
  </property>
  <property fmtid="{D5CDD505-2E9C-101B-9397-08002B2CF9AE}" pid="4" name="KSOTemplateDocerSaveRecord">
    <vt:lpwstr>eyJoZGlkIjoiMWUxYWQ0YmU0OTAzNzcxZDMwNDI5NDBmY2E1ZjkzY2MiLCJ1c2VySWQiOiIxOTU2MzgwNDUifQ==</vt:lpwstr>
  </property>
</Properties>
</file>